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0"/>
        <w:outlineLvl w:val="0"/>
        <w:ind w:firstLine="540"/>
        <w:jc w:val="both"/>
      </w:pPr>
      <w:r>
        <w:rPr>
          <w:sz w:val="20"/>
        </w:rPr>
      </w:r>
    </w:p>
    <w:p>
      <w:pPr>
        <w:pStyle w:val="2"/>
        <w:jc w:val="center"/>
      </w:pPr>
      <w:r>
        <w:rPr>
          <w:sz w:val="20"/>
        </w:rPr>
        <w:t xml:space="preserve">АРБИТРАЖНЫЙ СУД УРАЛЬСКОГО ОКРУГА</w:t>
      </w:r>
    </w:p>
    <w:p>
      <w:pPr>
        <w:pStyle w:val="2"/>
        <w:jc w:val="center"/>
      </w:pPr>
      <w:r>
        <w:rPr>
          <w:sz w:val="20"/>
        </w:rPr>
      </w:r>
    </w:p>
    <w:p>
      <w:pPr>
        <w:pStyle w:val="2"/>
        <w:jc w:val="center"/>
      </w:pPr>
      <w:r>
        <w:rPr>
          <w:sz w:val="20"/>
        </w:rPr>
        <w:t xml:space="preserve">ПОСТАНОВЛЕНИЕ</w:t>
      </w:r>
    </w:p>
    <w:p>
      <w:pPr>
        <w:pStyle w:val="2"/>
        <w:jc w:val="center"/>
      </w:pPr>
      <w:r>
        <w:rPr>
          <w:sz w:val="20"/>
        </w:rPr>
        <w:t xml:space="preserve">от 4 февраля 2026 г. N Ф09-5912/25</w:t>
      </w:r>
    </w:p>
    <w:p>
      <w:pPr>
        <w:pStyle w:val="0"/>
        <w:ind w:firstLine="540"/>
        <w:jc w:val="both"/>
      </w:pPr>
      <w:r>
        <w:rPr>
          <w:sz w:val="20"/>
        </w:rPr>
      </w:r>
    </w:p>
    <w:p>
      <w:pPr>
        <w:pStyle w:val="0"/>
        <w:jc w:val="right"/>
      </w:pPr>
      <w:r>
        <w:rPr>
          <w:sz w:val="20"/>
        </w:rPr>
        <w:t xml:space="preserve">Дело N А76-12540/2023</w:t>
      </w:r>
    </w:p>
    <w:p>
      <w:pPr>
        <w:pStyle w:val="0"/>
        <w:ind w:firstLine="540"/>
        <w:jc w:val="both"/>
      </w:pPr>
      <w:r>
        <w:rPr>
          <w:sz w:val="20"/>
        </w:rPr>
      </w:r>
    </w:p>
    <w:p>
      <w:pPr>
        <w:pStyle w:val="0"/>
        <w:ind w:firstLine="540"/>
        <w:jc w:val="both"/>
      </w:pPr>
      <w:r>
        <w:rPr>
          <w:sz w:val="20"/>
        </w:rPr>
        <w:t xml:space="preserve">Резолютивная часть постановления объявлена 03 февраля 2026 г.</w:t>
      </w:r>
    </w:p>
    <w:p>
      <w:pPr>
        <w:pStyle w:val="0"/>
        <w:spacing w:before="200" w:lineRule="auto"/>
        <w:ind w:firstLine="540"/>
        <w:jc w:val="both"/>
      </w:pPr>
      <w:r>
        <w:rPr>
          <w:sz w:val="20"/>
        </w:rPr>
        <w:t xml:space="preserve">Постановление изготовлено в полном объеме 04 февраля 2026 г.</w:t>
      </w:r>
    </w:p>
    <w:p>
      <w:pPr>
        <w:pStyle w:val="0"/>
        <w:spacing w:before="200" w:lineRule="auto"/>
        <w:ind w:firstLine="540"/>
        <w:jc w:val="both"/>
      </w:pPr>
      <w:r>
        <w:rPr>
          <w:sz w:val="20"/>
        </w:rPr>
        <w:t xml:space="preserve">Арбитражный суд Уральского округа в составе:</w:t>
      </w:r>
    </w:p>
    <w:p>
      <w:pPr>
        <w:pStyle w:val="0"/>
        <w:spacing w:before="200" w:lineRule="auto"/>
        <w:ind w:firstLine="540"/>
        <w:jc w:val="both"/>
      </w:pPr>
      <w:r>
        <w:rPr>
          <w:sz w:val="20"/>
        </w:rPr>
        <w:t xml:space="preserve">председательствующего Лукьянова В.А.,</w:t>
      </w:r>
    </w:p>
    <w:p>
      <w:pPr>
        <w:pStyle w:val="0"/>
        <w:spacing w:before="200" w:lineRule="auto"/>
        <w:ind w:firstLine="540"/>
        <w:jc w:val="both"/>
      </w:pPr>
      <w:r>
        <w:rPr>
          <w:sz w:val="20"/>
        </w:rPr>
        <w:t xml:space="preserve">судей Жаворонкова Д.В., Гавриленко О.Л.,</w:t>
      </w:r>
    </w:p>
    <w:p>
      <w:pPr>
        <w:pStyle w:val="0"/>
        <w:spacing w:before="200" w:lineRule="auto"/>
        <w:ind w:firstLine="540"/>
        <w:jc w:val="both"/>
      </w:pPr>
      <w:r>
        <w:rPr>
          <w:sz w:val="20"/>
        </w:rPr>
        <w:t xml:space="preserve">рассмотрел в судебном заседании кассационную жалобу Межрайонной инспекции Федеральной налоговой службы N 29 по Челябинской области (ИНН: 7451039003, ОГРН: 1047448999993; далее - инспекция, налоговый орган, МИФНС России N 29 по Челябинской области, податель жалобы) на </w:t>
      </w:r>
      <w:hyperlink w:history="0" r:id="rId7" w:tooltip="Ссылка на КонсультантПлюс">
        <w:r>
          <w:rPr>
            <w:sz w:val="20"/>
            <w:color w:val="0000ff"/>
          </w:rPr>
          <w:t xml:space="preserve">решение</w:t>
        </w:r>
      </w:hyperlink>
      <w:r>
        <w:rPr>
          <w:sz w:val="20"/>
        </w:rPr>
        <w:t xml:space="preserve"> Арбитражного суда Челябинской области от 25.04.2025 по делу N А76-12540/2023 и </w:t>
      </w:r>
      <w:hyperlink w:history="0" r:id="rId8" w:tooltip="Постановление Восемнадцатого арбитражного апелляционного суда от 22.10.2025 N 18АП-5833/2025, 18АП-5834/2025 по делу N А76-12540/2023 Требование: О признании недействительным решения налогового органа о привлечении к ответственности за совершение налогового правонарушения в части начисления налога на добавленную стоимость, пеней по НДС, штрафа по НДС, налога на прибыль, пеней по налогу на прибыль, штрафа. Решение: Решение первой инстанции изменено, отменено. Производство по делу прекращено. {КонсультантПлюс}">
        <w:r>
          <w:rPr>
            <w:sz w:val="20"/>
            <w:color w:val="0000ff"/>
          </w:rPr>
          <w:t xml:space="preserve">постановление</w:t>
        </w:r>
      </w:hyperlink>
      <w:r>
        <w:rPr>
          <w:sz w:val="20"/>
        </w:rPr>
        <w:t xml:space="preserve"> Восемнадцатого арбитражного апелляционного суда от 22.10.2025 по указанному делу.</w:t>
      </w:r>
    </w:p>
    <w:p>
      <w:pPr>
        <w:pStyle w:val="0"/>
        <w:spacing w:before="200" w:lineRule="auto"/>
        <w:ind w:firstLine="540"/>
        <w:jc w:val="both"/>
      </w:pPr>
      <w:r>
        <w:rPr>
          <w:sz w:val="20"/>
        </w:rPr>
        <w:t xml:space="preserve">Лица, участвующие в деле, о времени и месте рассмотрения кассационной жалобы извещены надлежащим образом, в том числе публично, путем размещения информации о времени и месте судебного заседания на сайте Арбитражного суда Уральского округа.</w:t>
      </w:r>
    </w:p>
    <w:p>
      <w:pPr>
        <w:pStyle w:val="0"/>
        <w:spacing w:before="200" w:lineRule="auto"/>
        <w:ind w:firstLine="540"/>
        <w:jc w:val="both"/>
      </w:pPr>
      <w:r>
        <w:rPr>
          <w:sz w:val="20"/>
        </w:rPr>
        <w:t xml:space="preserve">В судебном заседании приняли участие представители:</w:t>
      </w:r>
    </w:p>
    <w:p>
      <w:pPr>
        <w:pStyle w:val="0"/>
        <w:spacing w:before="200" w:lineRule="auto"/>
        <w:ind w:firstLine="540"/>
        <w:jc w:val="both"/>
      </w:pPr>
      <w:r>
        <w:rPr>
          <w:sz w:val="20"/>
        </w:rPr>
        <w:t xml:space="preserve">общества с ограниченной ответственностью "Архстройпроект" (ИНН: 8622023248, ОГРН: 112862200104; далее - общество "Архстройпроект", налогоплательщик) - Жакаев В.С. (доверенность от 14.02.2025, диплом), Эйсфельд А.В. (доверенность от 14.02.2025, диплом);</w:t>
      </w:r>
    </w:p>
    <w:p>
      <w:pPr>
        <w:pStyle w:val="0"/>
        <w:spacing w:before="200" w:lineRule="auto"/>
        <w:ind w:firstLine="540"/>
        <w:jc w:val="both"/>
      </w:pPr>
      <w:r>
        <w:rPr>
          <w:sz w:val="20"/>
        </w:rPr>
        <w:t xml:space="preserve">налогового органа - Халикова Н.В. (доверенность от 23.12.2025, диплом), Иванова М.А. (доверенность от 25.12.2025, диплом);</w:t>
      </w:r>
    </w:p>
    <w:p>
      <w:pPr>
        <w:pStyle w:val="0"/>
        <w:spacing w:before="200" w:lineRule="auto"/>
        <w:ind w:firstLine="540"/>
        <w:jc w:val="both"/>
      </w:pPr>
      <w:r>
        <w:rPr>
          <w:sz w:val="20"/>
        </w:rPr>
        <w:t xml:space="preserve">Межрайонной инспекции Федеральной налоговой службы N 26 по Челябинской области (правопреемника Инспекции Федеральной налоговой службы по Калининскому району города Челябинска, далее - МИФНС России N 26 по Челябинской области) - Халикова Н.В. (доверенность от 23.12.2025, диплом);</w:t>
      </w:r>
    </w:p>
    <w:p>
      <w:pPr>
        <w:pStyle w:val="0"/>
        <w:spacing w:before="200" w:lineRule="auto"/>
        <w:ind w:firstLine="540"/>
        <w:jc w:val="both"/>
      </w:pPr>
      <w:r>
        <w:rPr>
          <w:sz w:val="20"/>
        </w:rPr>
        <w:t xml:space="preserve">Управления Федеральной налоговой службы по Челябинской области (далее - УФНС России по Челябинской области) - Халикова Н.В. (доверенность от 23.12.2025, диплом).</w:t>
      </w:r>
    </w:p>
    <w:p>
      <w:pPr>
        <w:pStyle w:val="0"/>
        <w:ind w:firstLine="540"/>
        <w:jc w:val="both"/>
      </w:pPr>
      <w:r>
        <w:rPr>
          <w:sz w:val="20"/>
        </w:rPr>
      </w:r>
    </w:p>
    <w:p>
      <w:pPr>
        <w:pStyle w:val="0"/>
        <w:ind w:firstLine="540"/>
        <w:jc w:val="both"/>
      </w:pPr>
      <w:r>
        <w:rPr>
          <w:sz w:val="20"/>
        </w:rPr>
        <w:t xml:space="preserve">Общество "Архстройпроект" обратилось в Арбитражный суд Челябинской области с заявлением о признании недействительным решения Инспекции Федеральной налоговой службы по Советскому району города Челябинска (правопредшественника МИФНС России N 29 по Челябинской области) от 06.10.2022 N 22 о привлечении к ответственности за совершение налогового правонарушения в части начисления налога на добавленную стоимость (далее - НДС), налога на прибыль в спорных суммах, соответствующих пени и штрафа.</w:t>
      </w:r>
    </w:p>
    <w:p>
      <w:pPr>
        <w:pStyle w:val="0"/>
        <w:spacing w:before="200" w:lineRule="auto"/>
        <w:ind w:firstLine="540"/>
        <w:jc w:val="both"/>
      </w:pPr>
      <w:r>
        <w:rPr>
          <w:sz w:val="20"/>
        </w:rPr>
        <w:t xml:space="preserve">На основании </w:t>
      </w:r>
      <w:hyperlink w:history="0" r:id="rId9" w:tooltip="&quot;Арбитражный процессуальный кодекс Российской Федерации&quot; от 24.07.2002 N 95-ФЗ (ред. от 15.12.2025) (с изм. и доп., вступ. в силу с 01.01.2026) {КонсультантПлюс}">
        <w:r>
          <w:rPr>
            <w:sz w:val="20"/>
            <w:color w:val="0000ff"/>
          </w:rPr>
          <w:t xml:space="preserve">статей 46</w:t>
        </w:r>
      </w:hyperlink>
      <w:r>
        <w:rPr>
          <w:sz w:val="20"/>
        </w:rPr>
        <w:t xml:space="preserve">, </w:t>
      </w:r>
      <w:hyperlink w:history="0" r:id="rId10" w:tooltip="&quot;Арбитражный процессуальный кодекс Российской Федерации&quot; от 24.07.2002 N 95-ФЗ (ред. от 15.12.2025) (с изм. и доп., вступ. в силу с 01.01.2026) {КонсультантПлюс}">
        <w:r>
          <w:rPr>
            <w:sz w:val="20"/>
            <w:color w:val="0000ff"/>
          </w:rPr>
          <w:t xml:space="preserve">51</w:t>
        </w:r>
      </w:hyperlink>
      <w:r>
        <w:rPr>
          <w:sz w:val="20"/>
        </w:rPr>
        <w:t xml:space="preserve"> Арбитражного процессуального кодекса Российской Федерации определением суда к участию в деле в качестве соответчика привлечен правопредшественник МИФНС России N 26 по Челябинской области, в качестве третьего лица, не заявляющего самостоятельных требований относительно предмета спора, - УФНС России по Челябинской области.</w:t>
      </w:r>
    </w:p>
    <w:p>
      <w:pPr>
        <w:pStyle w:val="0"/>
        <w:spacing w:before="200" w:lineRule="auto"/>
        <w:ind w:firstLine="540"/>
        <w:jc w:val="both"/>
      </w:pPr>
      <w:r>
        <w:rPr>
          <w:sz w:val="20"/>
        </w:rPr>
        <w:t xml:space="preserve">Решением арбитражного суда первой инстанции от 12.05.2025 заявленные требования удовлетворены частично, обжалованное решение признано недействительным в части доначисления НДС в сумме 1 761 780 руб., налога на прибыль в сумме 3 657 200 руб., соответствующих сумм штрафа, пени, как не соответствующее нормам Налогового </w:t>
      </w:r>
      <w:hyperlink w:history="0" r:id="rId11" w:tooltip="&quot;Налоговый кодекс Российской Федерации (часть первая)&quot; от 31.07.1998 N 146-ФЗ (ред. от 29.11.2024, с изм. от 21.01.2025) (с изм. и доп., вступ. в силу с 05.02.2025) ------------ Недействующая редакция {КонсультантПлюс}">
        <w:r>
          <w:rPr>
            <w:sz w:val="20"/>
            <w:color w:val="0000ff"/>
          </w:rPr>
          <w:t xml:space="preserve">кодекса</w:t>
        </w:r>
      </w:hyperlink>
      <w:r>
        <w:rPr>
          <w:sz w:val="20"/>
        </w:rPr>
        <w:t xml:space="preserve"> Российской Федерации (далее - НК РФ). В удовлетворении остальной части требований отказано, распределены судебные расходы.</w:t>
      </w:r>
    </w:p>
    <w:p>
      <w:pPr>
        <w:pStyle w:val="0"/>
        <w:spacing w:before="200" w:lineRule="auto"/>
        <w:ind w:firstLine="540"/>
        <w:jc w:val="both"/>
      </w:pPr>
      <w:hyperlink w:history="0" r:id="rId12" w:tooltip="Постановление Восемнадцатого арбитражного апелляционного суда от 22.10.2025 N 18АП-5833/2025, 18АП-5834/2025 по делу N А76-12540/2023 Требование: О признании недействительным решения налогового органа о привлечении к ответственности за совершение налогового правонарушения в части начисления налога на добавленную стоимость, пеней по НДС, штрафа по НДС, налога на прибыль, пеней по налогу на прибыль, штрафа. Решение: Решение первой инстанции изменено, отменено. Производство по делу прекращено. {КонсультантПлюс}">
        <w:r>
          <w:rPr>
            <w:sz w:val="20"/>
            <w:color w:val="0000ff"/>
          </w:rPr>
          <w:t xml:space="preserve">Постановлением</w:t>
        </w:r>
      </w:hyperlink>
      <w:r>
        <w:rPr>
          <w:sz w:val="20"/>
        </w:rPr>
        <w:t xml:space="preserve"> Восемнадцатого арбитражного апелляционного суда от 22.10.2025 в части НДС в размере 27 540 руб., пени - 12 412,93 руб., штрафа - 146,47 руб., налога на прибыль организаций - 27 540 руб., пени - 12 710,49 руб., штрафа - 688,18 руб. принят отказ налогоплательщика от иска, </w:t>
      </w:r>
      <w:hyperlink w:history="0" r:id="rId13" w:tooltip="Ссылка на КонсультантПлюс">
        <w:r>
          <w:rPr>
            <w:sz w:val="20"/>
            <w:color w:val="0000ff"/>
          </w:rPr>
          <w:t xml:space="preserve">решение</w:t>
        </w:r>
      </w:hyperlink>
      <w:r>
        <w:rPr>
          <w:sz w:val="20"/>
        </w:rPr>
        <w:t xml:space="preserve"> Арбитражного суда Челябинской области по делу N А76-12540/2023 в данной части отменено, производство по делу в этой части прекращено, оставшаяся часть решения суда первой инстанции изменена, заявленные требования удовлетворены частично, обжалованное решение признано недействительным в части доначисления НДС в сумме 23 852 894,67 руб., пени - 10 750 197,99 руб., штрафа - 244 296,88 руб., налога на прибыль организаций в сумме 25 202 999,67 руб., пени - 11 631 896,89 руб., штрафа - 629 528,50 руб., в удовлетворении остальной части требований отказано, распределены судебные расходы.</w:t>
      </w:r>
    </w:p>
    <w:p>
      <w:pPr>
        <w:pStyle w:val="0"/>
        <w:spacing w:before="200" w:lineRule="auto"/>
        <w:ind w:firstLine="540"/>
        <w:jc w:val="both"/>
      </w:pPr>
      <w:r>
        <w:rPr>
          <w:sz w:val="20"/>
        </w:rPr>
        <w:t xml:space="preserve">В кассационной жалобе ее податель просит указанные судебные акты в части удовлетворения заявленных требований отменить, ссылаясь на нарушение норм материального права.</w:t>
      </w:r>
    </w:p>
    <w:p>
      <w:pPr>
        <w:pStyle w:val="0"/>
        <w:spacing w:before="200" w:lineRule="auto"/>
        <w:ind w:firstLine="540"/>
        <w:jc w:val="both"/>
      </w:pPr>
      <w:r>
        <w:rPr>
          <w:sz w:val="20"/>
        </w:rPr>
        <w:t xml:space="preserve">МИФНС России N 29 по Челябинской области настаивает на правомерности оспоренного решения, поскольку взаимоотношения с обществами с ограниченной ответственностью "СТ-Технологии", "Оптстрой", "Промресурс", "Челябспецмаш", "Атриум", "НПК Горизонт", "Стройинвест", "Гарант Строй Резерв", "Лада-Металл", "Регионторг", "Омега", "Завод Спецподъемоборудование", "Компания Фортуна-СМ", "Орион", "Гранд", "Оптическая компания плюс", "Монолит", "Авто-Трейд", "Триумф", "Эталон", "Бастион", "Челябспецмаш", "Формула про", "Модуль-строй", "Турал", "Юграспецстрой", "Джуниор", "Эскаладо", "Гермес Урал" (далее - общества "СТ-Технологии", "Оптстрой", "Промресурс", "Челябспецмаш", "Атриум", "НПК Горизонт", "Стройинвест", "Гарант Строй Резерв", "Лада-Металл", "Регионторг", "Омега", "Завод Спецподъемоборудование", "Компания Фортуна-СМ", "Орион", "Гранд", "Оптическая компания плюс", "Монолит", "Авто-Трейд", "Триумф", "Эталон", "Бастион", "Челябспецмаш", "Формула про", "Модуль-строй", "Турал", "Юграспецстрой", "Джуниор", "Эскаладо", "Гермес Урал") обоснованно инспекцией признаны нереальными.</w:t>
      </w:r>
    </w:p>
    <w:p>
      <w:pPr>
        <w:pStyle w:val="0"/>
        <w:spacing w:before="200" w:lineRule="auto"/>
        <w:ind w:firstLine="540"/>
        <w:jc w:val="both"/>
      </w:pPr>
      <w:r>
        <w:rPr>
          <w:sz w:val="20"/>
        </w:rPr>
        <w:t xml:space="preserve">Податель жалобы утверждает о наличии у поименованных контрагентов признаков сомнительных организаций, не ведущих реальную хозяйственную деятельность, в том числе отсутствие у данных организаций трудовых и материальных ресурсов для исполнения обязательств, перечисления заработной платы работникам, оплаты за спорные товары и работы и прочее.</w:t>
      </w:r>
    </w:p>
    <w:p>
      <w:pPr>
        <w:pStyle w:val="0"/>
        <w:spacing w:before="200" w:lineRule="auto"/>
        <w:ind w:firstLine="540"/>
        <w:jc w:val="both"/>
      </w:pPr>
      <w:r>
        <w:rPr>
          <w:sz w:val="20"/>
        </w:rPr>
        <w:t xml:space="preserve">В обоснование своих доводов налоговый орган, возражая против выводов апелляционного суда касаемо отсутствия согласованности действий налогоплательщика и спорных контрагентов, относительно недоказанности положенных в основу обжалованного решения выводов, указывает на надлежащую оценку перечисленных обстоятельств, а также представленным инспекцией в материалы дела доказательствам о несоблюдении условий для возмещения спорной суммы НДС.</w:t>
      </w:r>
    </w:p>
    <w:p>
      <w:pPr>
        <w:pStyle w:val="0"/>
        <w:spacing w:before="200" w:lineRule="auto"/>
        <w:ind w:firstLine="540"/>
        <w:jc w:val="both"/>
      </w:pPr>
      <w:r>
        <w:rPr>
          <w:sz w:val="20"/>
        </w:rPr>
        <w:t xml:space="preserve">По мнению МИФНС России N 29 по Челябинской области, в целях создания условий для получения налогоплательщиком необоснованной налоговой выгоды им сформирован формальный документооборот, реальность поставки товаров и выполнения работ налоговым органом не установлена.</w:t>
      </w:r>
    </w:p>
    <w:p>
      <w:pPr>
        <w:pStyle w:val="0"/>
        <w:spacing w:before="200" w:lineRule="auto"/>
        <w:ind w:firstLine="540"/>
        <w:jc w:val="both"/>
      </w:pPr>
      <w:r>
        <w:rPr>
          <w:sz w:val="20"/>
        </w:rPr>
        <w:t xml:space="preserve">В представленном отзыве на кассационную жалобу общество "Архстройпроект" просит оспариваемое постановление апелляционного суда оставить без изменения, жалобу - без удовлетворения.</w:t>
      </w:r>
    </w:p>
    <w:p>
      <w:pPr>
        <w:pStyle w:val="0"/>
        <w:spacing w:before="200" w:lineRule="auto"/>
        <w:ind w:firstLine="540"/>
        <w:jc w:val="both"/>
      </w:pPr>
      <w:r>
        <w:rPr>
          <w:sz w:val="20"/>
        </w:rPr>
        <w:t xml:space="preserve">Письменные мотивированные отзывы на кассационную жалобу УФНС России по Челябинской области, МИФНС России N 26 по Челябинской области в материалы дела не представили.</w:t>
      </w:r>
    </w:p>
    <w:p>
      <w:pPr>
        <w:pStyle w:val="0"/>
        <w:ind w:firstLine="540"/>
        <w:jc w:val="both"/>
      </w:pPr>
      <w:r>
        <w:rPr>
          <w:sz w:val="20"/>
        </w:rPr>
      </w:r>
    </w:p>
    <w:p>
      <w:pPr>
        <w:pStyle w:val="0"/>
        <w:ind w:firstLine="540"/>
        <w:jc w:val="both"/>
      </w:pPr>
      <w:r>
        <w:rPr>
          <w:sz w:val="20"/>
        </w:rPr>
        <w:t xml:space="preserve">Законность обжалуемых судебных актов проверена судом кассационной инстанции на основании </w:t>
      </w:r>
      <w:hyperlink w:history="0" r:id="rId14" w:tooltip="&quot;Арбитражный процессуальный кодекс Российской Федерации&quot; от 24.07.2002 N 95-ФЗ (ред. от 15.12.2025) (с изм. и доп., вступ. в силу с 01.01.2026) {КонсультантПлюс}">
        <w:r>
          <w:rPr>
            <w:sz w:val="20"/>
            <w:color w:val="0000ff"/>
          </w:rPr>
          <w:t xml:space="preserve">статей 274</w:t>
        </w:r>
      </w:hyperlink>
      <w:r>
        <w:rPr>
          <w:sz w:val="20"/>
        </w:rPr>
        <w:t xml:space="preserve">, </w:t>
      </w:r>
      <w:hyperlink w:history="0" r:id="rId15" w:tooltip="&quot;Арбитражный процессуальный кодекс Российской Федерации&quot; от 24.07.2002 N 95-ФЗ (ред. от 15.12.2025) (с изм. и доп., вступ. в силу с 01.01.2026) {КонсультантПлюс}">
        <w:r>
          <w:rPr>
            <w:sz w:val="20"/>
            <w:color w:val="0000ff"/>
          </w:rPr>
          <w:t xml:space="preserve">284</w:t>
        </w:r>
      </w:hyperlink>
      <w:r>
        <w:rPr>
          <w:sz w:val="20"/>
        </w:rPr>
        <w:t xml:space="preserve">, </w:t>
      </w:r>
      <w:hyperlink w:history="0" r:id="rId16" w:tooltip="&quot;Арбитражный процессуальный кодекс Российской Федерации&quot; от 24.07.2002 N 95-ФЗ (ред. от 15.12.2025) (с изм. и доп., вступ. в силу с 01.01.2026) {КонсультантПлюс}">
        <w:r>
          <w:rPr>
            <w:sz w:val="20"/>
            <w:color w:val="0000ff"/>
          </w:rPr>
          <w:t xml:space="preserve">286</w:t>
        </w:r>
      </w:hyperlink>
      <w:r>
        <w:rPr>
          <w:sz w:val="20"/>
        </w:rPr>
        <w:t xml:space="preserve"> Арбитражного процессуального кодекса Российской Федерации в пределах доводов, изложенных в кассационной жалобе.</w:t>
      </w:r>
    </w:p>
    <w:p>
      <w:pPr>
        <w:pStyle w:val="0"/>
        <w:spacing w:before="200" w:lineRule="auto"/>
        <w:ind w:firstLine="540"/>
        <w:jc w:val="both"/>
      </w:pPr>
      <w:r>
        <w:rPr>
          <w:sz w:val="20"/>
        </w:rPr>
        <w:t xml:space="preserve">Как следует из материалов дела и установлено судами при рассмотрении спора, инспекцией проведена выездная налоговая проверка налогоплательщика по вопросам правильности исчисления и своевременности уплаты налогов и сборов за период с 01.01.2018 по 30.12.2020, по результатам которой 11.02.2022 составлен акт налоговой проверки и 25.08.2022 - дополнение к нему, 06.10.2022 принята оспоренная часть решения налогового органа.</w:t>
      </w:r>
    </w:p>
    <w:p>
      <w:pPr>
        <w:pStyle w:val="0"/>
        <w:spacing w:before="200" w:lineRule="auto"/>
        <w:ind w:firstLine="540"/>
        <w:jc w:val="both"/>
      </w:pPr>
      <w:r>
        <w:rPr>
          <w:sz w:val="20"/>
        </w:rPr>
        <w:t xml:space="preserve">Решением УФНС России по Челябинской области от 19.01.2023 обжалованная часть решения инспекции оставлена без изменения.</w:t>
      </w:r>
    </w:p>
    <w:p>
      <w:pPr>
        <w:pStyle w:val="0"/>
        <w:spacing w:before="200" w:lineRule="auto"/>
        <w:ind w:firstLine="540"/>
        <w:jc w:val="both"/>
      </w:pPr>
      <w:r>
        <w:rPr>
          <w:sz w:val="20"/>
          <w:highlight w:val="yellow"/>
        </w:rPr>
        <w:t xml:space="preserve">Основанием для доначисления спорных сумм НДС, налога на прибыль, соответствующих сумм пени и штрафа послужили выводы налогового органа о создании налогоплательщиком формального документооборота с целью получения необоснованной налоговой выгоды по взаимоотношениям между налогоплательщиком и обществами</w:t>
      </w:r>
      <w:r>
        <w:rPr>
          <w:sz w:val="20"/>
        </w:rPr>
        <w:t xml:space="preserve"> "СТ-Технологии", "Оптстрой", "Промресурс", "Челябспецмаш", "Атриум", "НПК Горизонт", "Стройинвест", "Гарант Строй Резерв", "Лада-Металл", "Регионторг", "Омега", "Завод Спецподъемоборудование", "Компания Фортуна-СМ", "Орион", "Гранд", "Оптическая компания плюс", "Монолит", "Авто-Трейд", "Триумф", "Эталон", "Бастион", "Челябспецмаш", "Формула про", "Модуль-строй", "Турал", "Юграспецстрой", "Джуниор", "Эскаладо", "Гермес Урал" при установленной фиктивности и нереальности указанных сделок, действительной целью заключенных сделок являлось необоснованное получение налоговой экономии в виде завышения вычетов при исчислении НДС, завышение расходов по налогу на прибыль организаций.</w:t>
      </w:r>
    </w:p>
    <w:p>
      <w:pPr>
        <w:pStyle w:val="0"/>
        <w:spacing w:before="200" w:lineRule="auto"/>
        <w:ind w:firstLine="540"/>
        <w:jc w:val="both"/>
      </w:pPr>
      <w:r>
        <w:rPr>
          <w:sz w:val="20"/>
        </w:rPr>
        <w:t xml:space="preserve">Полагая, что обжалованное решение правопредшественника МИФНС России N 29 по Челябинской области в указанной выше части, нарушает права и законные интересы общества "Архстройпроект", последнее обратилось в арбитражный суд с соответствующим заявлением.</w:t>
      </w:r>
    </w:p>
    <w:p>
      <w:pPr>
        <w:pStyle w:val="0"/>
        <w:spacing w:before="200" w:lineRule="auto"/>
        <w:ind w:firstLine="540"/>
        <w:jc w:val="both"/>
      </w:pPr>
      <w:r>
        <w:rPr>
          <w:sz w:val="20"/>
        </w:rPr>
        <w:t xml:space="preserve">Суд первой инстанции частично удовлетворяя заявленные требования о признании недействительным оспоренного решения в части доначисления НДС в сумме 1 761 780 руб., налога на прибыль в сумме 3 657 200 руб., соответствующих сумм штрафа, пени, установил, что данными бухгалтерского и налогового учетов по сделкам с обществами "СТ Технологии", "Оптстрой", "Промресурс", "Челябспецмаш", "Атриум", "НПК Горизонт", "Стройинвест" подтверждено, что сделки исполнены в 2016, 2017 годах, то есть до начала проверяемого периода (2018 - 2020 годов), а также реальность финансово-хозяйственных операций налогоплательщика с обществами "Регионторг" и "Лада-Металл".</w:t>
      </w:r>
    </w:p>
    <w:p>
      <w:pPr>
        <w:pStyle w:val="0"/>
        <w:spacing w:before="200" w:lineRule="auto"/>
        <w:ind w:firstLine="540"/>
        <w:jc w:val="both"/>
      </w:pPr>
      <w:r>
        <w:rPr>
          <w:sz w:val="20"/>
        </w:rPr>
        <w:t xml:space="preserve">Отказывая в удовлетворении остальной части требований, суд установил, что в ходе проверки налоговым органом не установлены лица, выполняющие работы на спорных объектах, и согласился с выводом инспекции о создании обществом "Архстройпроект" формального документооборота с целью занижения налоговой базы по НДС и по налогу на прибыль организаций.</w:t>
      </w:r>
    </w:p>
    <w:p>
      <w:pPr>
        <w:pStyle w:val="0"/>
        <w:spacing w:before="200" w:lineRule="auto"/>
        <w:ind w:firstLine="540"/>
        <w:jc w:val="both"/>
      </w:pPr>
      <w:r>
        <w:rPr>
          <w:sz w:val="20"/>
        </w:rPr>
        <w:t xml:space="preserve">Апелляционный суд, удовлетворяя заявленные требования в указанной выше части, пришел к правомерному выводу о наличии предусмотренной </w:t>
      </w:r>
      <w:hyperlink w:history="0" r:id="rId17" w:tooltip="&quot;Арбитражный процессуальный кодекс Российской Федерации&quot; от 24.07.2002 N 95-ФЗ (ред. от 15.12.2025) (с изм. и доп., вступ. в силу с 01.01.2026) {КонсультантПлюс}">
        <w:r>
          <w:rPr>
            <w:sz w:val="20"/>
            <w:color w:val="0000ff"/>
          </w:rPr>
          <w:t xml:space="preserve">статьями 198</w:t>
        </w:r>
      </w:hyperlink>
      <w:r>
        <w:rPr>
          <w:sz w:val="20"/>
        </w:rPr>
        <w:t xml:space="preserve">, </w:t>
      </w:r>
      <w:hyperlink w:history="0" r:id="rId18" w:tooltip="&quot;Арбитражный процессуальный кодекс Российской Федерации&quot; от 24.07.2002 N 95-ФЗ (ред. от 15.12.2025) (с изм. и доп., вступ. в силу с 01.01.2026) {КонсультантПлюс}">
        <w:r>
          <w:rPr>
            <w:sz w:val="20"/>
            <w:color w:val="0000ff"/>
          </w:rPr>
          <w:t xml:space="preserve">201</w:t>
        </w:r>
      </w:hyperlink>
      <w:r>
        <w:rPr>
          <w:sz w:val="20"/>
        </w:rPr>
        <w:t xml:space="preserve"> Арбитражного процессуального кодекса Российской Федерации совокупности оснований для признания обжалованной части оспоренного решения инспекции недействительной, обоснованно приняв во внимание входящие в предмет доказывания обстоятельства рассматриваемого спора, поскольку бесспорно свидетельствующих о несоблюдении налогоплательщиком условий для возмещения НДС налоговым органом не представлено.</w:t>
      </w:r>
    </w:p>
    <w:p>
      <w:pPr>
        <w:pStyle w:val="0"/>
        <w:spacing w:before="200" w:lineRule="auto"/>
        <w:ind w:firstLine="540"/>
        <w:jc w:val="both"/>
      </w:pPr>
      <w:r>
        <w:rPr>
          <w:sz w:val="20"/>
        </w:rPr>
        <w:t xml:space="preserve">Данные выводы суда апелляционной инстанции соответствуют установленным по делу фактическим обстоятельствам, материалам дела и действующему налоговому законодательству Российской Федерации, а также практике его применения на основании следующего.</w:t>
      </w:r>
    </w:p>
    <w:p>
      <w:pPr>
        <w:pStyle w:val="0"/>
        <w:spacing w:before="200" w:lineRule="auto"/>
        <w:ind w:firstLine="540"/>
        <w:jc w:val="both"/>
      </w:pPr>
      <w:r>
        <w:rPr>
          <w:sz w:val="20"/>
        </w:rPr>
        <w:t xml:space="preserve">Исходя из положений </w:t>
      </w:r>
      <w:hyperlink w:history="0" r:id="rId19" w:tooltip="&quot;Налоговый кодекс Российской Федерации (часть первая)&quot; от 31.07.1998 N 146-ФЗ (ред. от 29.11.2024, с изм. от 21.01.2025) (с изм. и доп., вступ. в силу с 05.02.2025) ------------ Недействующая редакция {КонсультантПлюс}">
        <w:r>
          <w:rPr>
            <w:sz w:val="20"/>
            <w:color w:val="0000ff"/>
          </w:rPr>
          <w:t xml:space="preserve">статьи 3</w:t>
        </w:r>
      </w:hyperlink>
      <w:r>
        <w:rPr>
          <w:sz w:val="20"/>
        </w:rPr>
        <w:t xml:space="preserve"> НК РФ, противодействие злоупотреблениям в сфере налогообложения выступает одной из целей правового регулирования в данной сфере, реализация которой является необходимой для обеспечения всеобщности и равенства налогообложения, взимания налогов в соответствии с их экономическим основанием, исключения произвольного налогообложения.</w:t>
      </w:r>
    </w:p>
    <w:p>
      <w:pPr>
        <w:pStyle w:val="0"/>
        <w:spacing w:before="200" w:lineRule="auto"/>
        <w:ind w:firstLine="540"/>
        <w:jc w:val="both"/>
      </w:pPr>
      <w:r>
        <w:rPr>
          <w:sz w:val="20"/>
        </w:rPr>
        <w:t xml:space="preserve">Из системного анализа </w:t>
      </w:r>
      <w:hyperlink w:history="0" r:id="rId20" w:tooltip="&quot;Налоговый кодекс Российской Федерации (часть вторая)&quot; от 05.08.2000 N 117-ФЗ (ред. от 28.12.2024, с изм. от 21.01.2025) (с изм. и доп., вступ. в силу с 01.04.2025) ------------ Недействующая редакция {КонсультантПлюс}">
        <w:r>
          <w:rPr>
            <w:sz w:val="20"/>
            <w:color w:val="0000ff"/>
          </w:rPr>
          <w:t xml:space="preserve">статей 169</w:t>
        </w:r>
      </w:hyperlink>
      <w:r>
        <w:rPr>
          <w:sz w:val="20"/>
        </w:rPr>
        <w:t xml:space="preserve">, </w:t>
      </w:r>
      <w:hyperlink w:history="0" r:id="rId21" w:tooltip="&quot;Налоговый кодекс Российской Федерации (часть вторая)&quot; от 05.08.2000 N 117-ФЗ (ред. от 28.12.2024, с изм. от 21.01.2025) (с изм. и доп., вступ. в силу с 01.04.2025) ------------ Недействующая редакция {КонсультантПлюс}">
        <w:r>
          <w:rPr>
            <w:sz w:val="20"/>
            <w:color w:val="0000ff"/>
          </w:rPr>
          <w:t xml:space="preserve">171</w:t>
        </w:r>
      </w:hyperlink>
      <w:r>
        <w:rPr>
          <w:sz w:val="20"/>
        </w:rPr>
        <w:t xml:space="preserve">, </w:t>
      </w:r>
      <w:hyperlink w:history="0" r:id="rId22" w:tooltip="&quot;Налоговый кодекс Российской Федерации (часть вторая)&quot; от 05.08.2000 N 117-ФЗ (ред. от 28.12.2024, с изм. от 21.01.2025) (с изм. и доп., вступ. в силу с 01.04.2025) ------------ Недействующая редакция {КонсультантПлюс}">
        <w:r>
          <w:rPr>
            <w:sz w:val="20"/>
            <w:color w:val="0000ff"/>
          </w:rPr>
          <w:t xml:space="preserve">172</w:t>
        </w:r>
      </w:hyperlink>
      <w:r>
        <w:rPr>
          <w:sz w:val="20"/>
        </w:rPr>
        <w:t xml:space="preserve"> НК РФ следует, что налогоплательщик имеет право на осуществление налогового вычета НДС при одновременном выполнении следующих условий: наличие счета-фактуры, оформленного в соответствии с требованиями </w:t>
      </w:r>
      <w:hyperlink w:history="0" r:id="rId23" w:tooltip="&quot;Налоговый кодекс Российской Федерации (часть вторая)&quot; от 05.08.2000 N 117-ФЗ (ред. от 28.12.2024, с изм. от 21.01.2025) (с изм. и доп., вступ. в силу с 01.04.2025) ------------ Недействующая редакция {КонсультантПлюс}">
        <w:r>
          <w:rPr>
            <w:sz w:val="20"/>
            <w:color w:val="0000ff"/>
          </w:rPr>
          <w:t xml:space="preserve">статьи 169</w:t>
        </w:r>
      </w:hyperlink>
      <w:r>
        <w:rPr>
          <w:sz w:val="20"/>
        </w:rPr>
        <w:t xml:space="preserve"> НК РФ; принятие товара (работ, услуг) к своему учету на основании первичных учетных документов, оформленных в соответствии с требованиями действующего законодательства; использование приобретенных товаров (работ, услуг) в предпринимательской деятельности.</w:t>
      </w:r>
    </w:p>
    <w:p>
      <w:pPr>
        <w:pStyle w:val="0"/>
        <w:spacing w:before="200" w:lineRule="auto"/>
        <w:ind w:firstLine="540"/>
        <w:jc w:val="both"/>
      </w:pPr>
      <w:r>
        <w:rPr>
          <w:sz w:val="20"/>
        </w:rPr>
        <w:t xml:space="preserve">В силу взаимосвязанных положений </w:t>
      </w:r>
      <w:hyperlink w:history="0" r:id="rId24" w:tooltip="&quot;Налоговый кодекс Российской Федерации (часть вторая)&quot; от 05.08.2000 N 117-ФЗ (ред. от 28.12.2024, с изм. от 21.01.2025) (с изм. и доп., вступ. в силу с 01.04.2025) ------------ Недействующая редакция {КонсультантПлюс}">
        <w:r>
          <w:rPr>
            <w:sz w:val="20"/>
            <w:color w:val="0000ff"/>
          </w:rPr>
          <w:t xml:space="preserve">пункта 1 статьи 252</w:t>
        </w:r>
      </w:hyperlink>
      <w:r>
        <w:rPr>
          <w:sz w:val="20"/>
        </w:rPr>
        <w:t xml:space="preserve">, </w:t>
      </w:r>
      <w:hyperlink w:history="0" r:id="rId25" w:tooltip="&quot;Налоговый кодекс Российской Федерации (часть вторая)&quot; от 05.08.2000 N 117-ФЗ (ред. от 28.12.2024, с изм. от 21.01.2025) (с изм. и доп., вступ. в силу с 01.04.2025) ------------ Недействующая редакция {КонсультантПлюс}">
        <w:r>
          <w:rPr>
            <w:sz w:val="20"/>
            <w:color w:val="0000ff"/>
          </w:rPr>
          <w:t xml:space="preserve">статьи 313</w:t>
        </w:r>
      </w:hyperlink>
      <w:r>
        <w:rPr>
          <w:sz w:val="20"/>
        </w:rPr>
        <w:t xml:space="preserve"> НК РФ при исчислении налога на прибыль налогоплательщик уменьшает полученные доходы на сумму расходов, произведенных им в связи с совершением хозяйственных операций, которые подлежат отражению в налоговом учете полно и достоверно.</w:t>
      </w:r>
    </w:p>
    <w:p>
      <w:pPr>
        <w:pStyle w:val="0"/>
        <w:spacing w:before="200" w:lineRule="auto"/>
        <w:ind w:firstLine="540"/>
        <w:jc w:val="both"/>
      </w:pPr>
      <w:r>
        <w:rPr>
          <w:sz w:val="20"/>
        </w:rPr>
        <w:t xml:space="preserve">Формальность документооборота в смысле, придаваемом ему судебно-арбитражной практикой (</w:t>
      </w:r>
      <w:hyperlink w:history="0" r:id="rId26" w:tooltip="Постановление Президиума ВАС РФ от 03.07.2012 N 2341/12 по делу N А71-13079/2010-А17 Требование: Об оспаривании актов налогового органа. Обстоятельства: Налоговый орган доначислил налог на прибыль, НДС, пени, штраф в связи с необоснованным включением заводом в состав расходов затрат, произведенных по хозяйственным операциям. Решение: Дело в части оспаривания актов о доначислении налога на прибыль, пени, штрафа направлено на новое рассмотрение, поскольку определение размера налоговых обязательств при наличии {КонсультантПлюс}">
        <w:r>
          <w:rPr>
            <w:sz w:val="20"/>
            <w:color w:val="0000ff"/>
          </w:rPr>
          <w:t xml:space="preserve">постановление</w:t>
        </w:r>
      </w:hyperlink>
      <w:r>
        <w:rPr>
          <w:sz w:val="20"/>
        </w:rPr>
        <w:t xml:space="preserve"> Высшего Арбитражного Суда Российской Федерации от 03.07.2012 N 2341/12, </w:t>
      </w:r>
      <w:hyperlink w:history="0" r:id="rId27" w:tooltip="Определение Судебной коллегии по экономическим спорам Верховного Суда РФ от 20.07.2016 N 305-КГ16-4155 по делу N А40-87379/2014 Требование: Об оспаривании решений налогового органа о возмещении НДС в части признания необоснованным применения налоговых вычетов, об отказе в привлечении к ответственности за совершение налогового правонарушения в части уменьшения предъявленного к возмещению из бюджета в завышенных размерах НДС, взыскании денежных средств. Обстоятельства: По результатам налоговой проверки общест {КонсультантПлюс}">
        <w:r>
          <w:rPr>
            <w:sz w:val="20"/>
            <w:color w:val="0000ff"/>
          </w:rPr>
          <w:t xml:space="preserve">определение</w:t>
        </w:r>
      </w:hyperlink>
      <w:r>
        <w:rPr>
          <w:sz w:val="20"/>
        </w:rPr>
        <w:t xml:space="preserve"> Верховного Суда Российской Федерации от 20.07.2016 N 305-КГ16-4155, </w:t>
      </w:r>
      <w:hyperlink w:history="0" r:id="rId28" w:tooltip="&quot;Обзор судебной практики Верховного Суда Российской Федерации N 1 (2017)&quot; (утв. Президиумом Верховного Суда РФ 16.02.2017) (ред. от 26.04.2017) {КонсультантПлюс}">
        <w:r>
          <w:rPr>
            <w:sz w:val="20"/>
            <w:color w:val="0000ff"/>
          </w:rPr>
          <w:t xml:space="preserve">пункт 31</w:t>
        </w:r>
      </w:hyperlink>
      <w:r>
        <w:rPr>
          <w:sz w:val="20"/>
        </w:rPr>
        <w:t xml:space="preserve"> Обзора судебной практики Верховного Суда Российской Федерации N 1 (2017), утвержденного Президиумом Верховного Суда Российской Федерации 16.02.2017), не может устанавливаться только в связи с негативными характеристиками контрагента как хозяйствующего субъекта (наличие признаков номинальности, отсутствие необходимых условий для ведения результативной хозяйственной деятельности, неисполнение налоговых обязанностей) и также недостатками подтверждающих документов (подписание счетов-фактур от имени контрагента неустановленными лицами, отсутствие товаросопроводительных документов и прочее).</w:t>
      </w:r>
    </w:p>
    <w:p>
      <w:pPr>
        <w:pStyle w:val="0"/>
        <w:spacing w:before="200" w:lineRule="auto"/>
        <w:ind w:firstLine="540"/>
        <w:jc w:val="both"/>
      </w:pPr>
      <w:r>
        <w:rPr>
          <w:sz w:val="20"/>
        </w:rPr>
        <w:t xml:space="preserve">Согласно разъяснениям Пленума Высшего Арбитражного Суда Российской Федерации, изложенным в </w:t>
      </w:r>
      <w:hyperlink w:history="0" r:id="rId29" w:tooltip="Постановление Пленума ВАС РФ от 12.10.2006 N 53 &quot;Об оценке арбитражными судами обоснованности получения налогоплательщиком налоговой выгоды&quot; {КонсультантПлюс}">
        <w:r>
          <w:rPr>
            <w:sz w:val="20"/>
            <w:color w:val="0000ff"/>
          </w:rPr>
          <w:t xml:space="preserve">пунктах 1</w:t>
        </w:r>
      </w:hyperlink>
      <w:r>
        <w:rPr>
          <w:sz w:val="20"/>
        </w:rPr>
        <w:t xml:space="preserve">, </w:t>
      </w:r>
      <w:hyperlink w:history="0" r:id="rId30" w:tooltip="Постановление Пленума ВАС РФ от 12.10.2006 N 53 &quot;Об оценке арбитражными судами обоснованности получения налогоплательщиком налоговой выгоды&quot; {КонсультантПлюс}">
        <w:r>
          <w:rPr>
            <w:sz w:val="20"/>
            <w:color w:val="0000ff"/>
          </w:rPr>
          <w:t xml:space="preserve">2</w:t>
        </w:r>
      </w:hyperlink>
      <w:r>
        <w:rPr>
          <w:sz w:val="20"/>
        </w:rPr>
        <w:t xml:space="preserve"> постановления от 12.10.2006 N 53 "Об оценке арбитражными судами обоснованности получения налогоплательщиком налоговой выгоды" в полной мере соответствующим </w:t>
      </w:r>
      <w:hyperlink w:history="0" r:id="rId31" w:tooltip="&quot;Налоговый кодекс Российской Федерации (часть первая)&quot; от 31.07.1998 N 146-ФЗ (ред. от 29.11.2024, с изм. от 21.01.2025) (с изм. и доп., вступ. в силу с 05.02.2025) ------------ Недействующая редакция {КонсультантПлюс}">
        <w:r>
          <w:rPr>
            <w:sz w:val="20"/>
            <w:color w:val="0000ff"/>
          </w:rPr>
          <w:t xml:space="preserve">статье 3</w:t>
        </w:r>
      </w:hyperlink>
      <w:r>
        <w:rPr>
          <w:sz w:val="20"/>
        </w:rPr>
        <w:t xml:space="preserve"> НК РФ, судебная практика разрешения налоговых споров исходит из презумпции добросовестности налогоплательщиков и иных участников правоотношений в сфере экономики. В соответствии с </w:t>
      </w:r>
      <w:hyperlink w:history="0" r:id="rId32" w:tooltip="&quot;Арбитражный процессуальный кодекс Российской Федерации&quot; от 24.07.2002 N 95-ФЗ (ред. от 15.12.2025) (с изм. и доп., вступ. в силу с 01.01.2026) {КонсультантПлюс}">
        <w:r>
          <w:rPr>
            <w:sz w:val="20"/>
            <w:color w:val="0000ff"/>
          </w:rPr>
          <w:t xml:space="preserve">частью 1 статьи 65</w:t>
        </w:r>
      </w:hyperlink>
      <w:r>
        <w:rPr>
          <w:sz w:val="20"/>
        </w:rPr>
        <w:t xml:space="preserve"> Арбитражного процессуального кодекса Российской Федерации каждое лицо, участвующее в деле, должно доказать обстоятельства, на которые оно ссылается как на основание своих требований и возражений. Обязанность доказывания обстоятельств, послуживших основанием для принятия налоговым органом оспариваемого акта, возлагается на этот орган.</w:t>
      </w:r>
    </w:p>
    <w:p>
      <w:pPr>
        <w:pStyle w:val="0"/>
        <w:spacing w:before="200" w:lineRule="auto"/>
        <w:ind w:firstLine="540"/>
        <w:jc w:val="both"/>
      </w:pPr>
      <w:r>
        <w:rPr>
          <w:sz w:val="20"/>
        </w:rPr>
        <w:t xml:space="preserve">Верховный Суд Российской Федерации в </w:t>
      </w:r>
      <w:hyperlink w:history="0" r:id="rId33" w:tooltip="&quot;Обзор практики применения арбитражными судами положений законодательства о налогах и сборах, связанных с оценкой обоснованности налоговой выгоды&quot; (утв. Президиумом Верховного Суда РФ 13.12.2023) {КонсультантПлюс}">
        <w:r>
          <w:rPr>
            <w:sz w:val="20"/>
            <w:color w:val="0000ff"/>
          </w:rPr>
          <w:t xml:space="preserve">абзаце 7 пункта 6</w:t>
        </w:r>
      </w:hyperlink>
      <w:r>
        <w:rPr>
          <w:sz w:val="20"/>
        </w:rPr>
        <w:t xml:space="preserve"> Обзора практики применения арбитражными судами положений законодательства о налогах и сборах, связанных с оценкой обоснованности налоговой выгоды, утвержденного Президиумом Верховного Суда Российской Федерации 13.12.2023, также разъяснил, что налоговые органы не освобождаются от обязанности в рамках контрольных процедур принимать исчерпывающие меры, направленные на установление действительного размера налогового обязательства налогоплательщика, что исключало бы возможность вменения ему налога в размере большем, чем это установлено законом.</w:t>
      </w:r>
    </w:p>
    <w:p>
      <w:pPr>
        <w:pStyle w:val="0"/>
        <w:spacing w:before="200" w:lineRule="auto"/>
        <w:ind w:firstLine="540"/>
        <w:jc w:val="both"/>
      </w:pPr>
      <w:r>
        <w:rPr>
          <w:sz w:val="20"/>
        </w:rPr>
        <w:t xml:space="preserve">При этом Конституционный Суд Российской Федерации в </w:t>
      </w:r>
      <w:hyperlink w:history="0" r:id="rId34" w:tooltip="Постановление Конституционного Суда РФ от 28.10.1999 N 14-П &quot;По делу о проверке конституционности статьи 2 Федерального закона о внесении изменений и дополнений в Закон Российской Федерации &quot;О налоге на прибыль предприятий и организаций&quot; в связи с жалобой ОАО Энергомашбанк&quot; {КонсультантПлюс}">
        <w:r>
          <w:rPr>
            <w:sz w:val="20"/>
            <w:color w:val="0000ff"/>
          </w:rPr>
          <w:t xml:space="preserve">Постановлении</w:t>
        </w:r>
      </w:hyperlink>
      <w:r>
        <w:rPr>
          <w:sz w:val="20"/>
        </w:rPr>
        <w:t xml:space="preserve"> от 28.10.1999 N 14-П и Определениях от 24.11.2005 </w:t>
      </w:r>
      <w:hyperlink w:history="0" r:id="rId35" w:tooltip="Определение Конституционного Суда РФ от 24.11.2005 N 412-О &quot;Об отказе в принятии к рассмотрению жалобы социальной благотворительной некоммерческой организации &quot;Фонд социальной поддержки моряков&quot; на нарушение конституционных прав и свобод подпунктами 1 и 4 пункта 2 статьи 251, пунктом 1 статьи 252 и пунктом 34 статьи 270 Налогового кодекса Российской Федерации&quot; {КонсультантПлюс}">
        <w:r>
          <w:rPr>
            <w:sz w:val="20"/>
            <w:color w:val="0000ff"/>
          </w:rPr>
          <w:t xml:space="preserve">N 412-О</w:t>
        </w:r>
      </w:hyperlink>
      <w:r>
        <w:rPr>
          <w:sz w:val="20"/>
        </w:rPr>
        <w:t xml:space="preserve">, от 18.04.2006 </w:t>
      </w:r>
      <w:hyperlink w:history="0" r:id="rId36" w:tooltip="Определение Конституционного Суда РФ от 18.04.2006 N 87-О &quot;По жалобе закрытого акционерного общества &quot;Судовые агенты&quot; на нарушение конституционных прав и свобод положениями статьи 169 и пункта 1 статьи 171 Налогового кодекса Российской Федерации&quot; {КонсультантПлюс}">
        <w:r>
          <w:rPr>
            <w:sz w:val="20"/>
            <w:color w:val="0000ff"/>
          </w:rPr>
          <w:t xml:space="preserve">N 87-О</w:t>
        </w:r>
      </w:hyperlink>
      <w:r>
        <w:rPr>
          <w:sz w:val="20"/>
        </w:rPr>
        <w:t xml:space="preserve">, от 12.07.2006 </w:t>
      </w:r>
      <w:hyperlink w:history="0" r:id="rId37" w:tooltip="Определение Конституционного Суда РФ от 12.07.2006 N 267-О &quot;По жалобе открытого акционерного общества &quot;Востоксибэлектросетьстрой&quot; на нарушение конституционных прав и свобод положениями частей третьей и четвертой статьи 88, пункта 1 статьи 101 Налогового кодекса Российской Федерации и части 4 статьи 200 Арбитражного процессуального кодекса Российской Федерации&quot; {КонсультантПлюс}">
        <w:r>
          <w:rPr>
            <w:sz w:val="20"/>
            <w:color w:val="0000ff"/>
          </w:rPr>
          <w:t xml:space="preserve">N 267-О</w:t>
        </w:r>
      </w:hyperlink>
      <w:r>
        <w:rPr>
          <w:sz w:val="20"/>
        </w:rPr>
        <w:t xml:space="preserve">, от 24.03.2015 </w:t>
      </w:r>
      <w:hyperlink w:history="0" r:id="rId38" w:tooltip="Определение Конституционного Суда РФ от 24.03.2015 N 614-О &quot;Об отказе в принятии к рассмотрению жалобы общества с ограниченной ответственностью &quot;Ремонтно-эксплуатационное управление N 10&quot; на нарушение конституционных прав и свобод рядом положений Арбитражного процессуального кодекса Российской Федерации&quot; {КонсультантПлюс}">
        <w:r>
          <w:rPr>
            <w:sz w:val="20"/>
            <w:color w:val="0000ff"/>
          </w:rPr>
          <w:t xml:space="preserve">N 614-О</w:t>
        </w:r>
      </w:hyperlink>
      <w:r>
        <w:rPr>
          <w:sz w:val="20"/>
        </w:rPr>
        <w:t xml:space="preserve"> разъяснил, что гарантируемая </w:t>
      </w:r>
      <w:hyperlink w:history="0" r:id="rId39"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0"/>
            <w:color w:val="0000ff"/>
          </w:rPr>
          <w:t xml:space="preserve">статьями 35</w:t>
        </w:r>
      </w:hyperlink>
      <w:r>
        <w:rPr>
          <w:sz w:val="20"/>
        </w:rPr>
        <w:t xml:space="preserve"> и </w:t>
      </w:r>
      <w:hyperlink w:history="0" r:id="rId40"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0"/>
            <w:color w:val="0000ff"/>
          </w:rPr>
          <w:t xml:space="preserve">46</w:t>
        </w:r>
      </w:hyperlink>
      <w:r>
        <w:rPr>
          <w:sz w:val="20"/>
        </w:rPr>
        <w:t xml:space="preserve"> Конституции Российской Федерации судебная защита прав и законных интересов налогоплательщиков не может быть обеспечена, если суды при принятии решения о правомерности отказа в предоставлении заявленных налоговых вычетов исходят из одного только отсутствия у налогового органа документов, подтверждающих правильность их применения, без установления, исследования и оценки всех имеющих значение для правильного разрешения дела обстоятельств, в частности, счетов-фактур и иных документов, подтверждающих уплату налога, а также других фактических обстоятельств, которые в соответствии с налоговым законодательством должны учитываться при решении вопросов о возможности предоставления налоговых вычетов и привлечении налогоплательщика к налоговой ответственности.</w:t>
      </w:r>
    </w:p>
    <w:p>
      <w:pPr>
        <w:pStyle w:val="0"/>
        <w:spacing w:before="200" w:lineRule="auto"/>
        <w:ind w:firstLine="540"/>
        <w:jc w:val="both"/>
      </w:pPr>
      <w:r>
        <w:rPr>
          <w:sz w:val="20"/>
          <w:highlight w:val="yellow"/>
        </w:rPr>
        <w:t xml:space="preserve">Таким образом, признаки, негативным образом характеризующие спорных контрагентов, не могут быть положены в основу вывода о формальности рассматриваемого документооборота в условиях, когда реальность поставки соответствующего объема товара налоговым органом не опровергнута.</w:t>
      </w:r>
    </w:p>
    <w:p>
      <w:pPr>
        <w:pStyle w:val="0"/>
        <w:spacing w:before="200" w:lineRule="auto"/>
        <w:ind w:firstLine="540"/>
        <w:jc w:val="both"/>
      </w:pPr>
      <w:r>
        <w:rPr>
          <w:sz w:val="20"/>
        </w:rPr>
        <w:t xml:space="preserve">При решении вопроса об обоснованности налоговой выгоды, как по налогу на прибыль, так и НДС, во взаимоотношениях с контрагентами, не имеющими необходимых условий для экономической деятельности и не исполняющими налоговых обязательств по сделкам, осуществляемым от их имени, определяющее значение имеет действительное (реальное) совершение тех хозяйственных операций, в отношении которых налогоплательщик претендует на получение соответствующей налоговой выгоды.</w:t>
      </w:r>
    </w:p>
    <w:p>
      <w:pPr>
        <w:pStyle w:val="0"/>
        <w:spacing w:before="200" w:lineRule="auto"/>
        <w:ind w:firstLine="540"/>
        <w:jc w:val="both"/>
      </w:pPr>
      <w:r>
        <w:rPr>
          <w:sz w:val="20"/>
        </w:rPr>
        <w:t xml:space="preserve">В силу принципа презумпции добросовестности налогоплательщика именно на налоговом органе, оспаривающим реальность совершенных налогоплательщиком операций и обоснованность полученной в связи с этим налоговой выгоды, лежит бремя доказывания того, что приобретение товаров (работ, услуг) налогоплательщиком не имело места в действительности, либо спорный товар (работы, услуги) хотя и был получен налогоплательщиком, но фактически поставлен иными лицами.</w:t>
      </w:r>
    </w:p>
    <w:p>
      <w:pPr>
        <w:pStyle w:val="0"/>
        <w:spacing w:before="200" w:lineRule="auto"/>
        <w:ind w:firstLine="540"/>
        <w:jc w:val="both"/>
      </w:pPr>
      <w:r>
        <w:rPr>
          <w:sz w:val="20"/>
        </w:rPr>
        <w:t xml:space="preserve">Аналогичный подход к разрешению споров о получении необоснованной налоговой выгоды, также был отражен Судебной коллегией по экономическим спорам Верховного Суда Российской Федерации в Определениях, в частности, от 19.05.2021 </w:t>
      </w:r>
      <w:hyperlink w:history="0" r:id="rId41" w:tooltip="Определение Судебной коллегии по экономическим спорам Верховного Суда Российской Федерации от 19.05.2021 N 309-ЭС20-23981 по делу N А76-46624/2019 Требование: О признании незаконным решения налогового органа. Обстоятельства: Оспариваемым решением обществу доначислены налог на прибыль, НДС, соответствующие пени и штрафы, пени по НДФЛ в связи с умышленным созданием формального документооборота для получения необоснованной налоговой выгоды при приобретении у контрагентов фиктивных и в действительности не оказа {КонсультантПлюс}">
        <w:r>
          <w:rPr>
            <w:sz w:val="20"/>
            <w:color w:val="0000ff"/>
          </w:rPr>
          <w:t xml:space="preserve">N 309-ЭС20-23981</w:t>
        </w:r>
      </w:hyperlink>
      <w:r>
        <w:rPr>
          <w:sz w:val="20"/>
        </w:rPr>
        <w:t xml:space="preserve">, от 17.01.2022 </w:t>
      </w:r>
      <w:hyperlink w:history="0" r:id="rId42" w:tooltip="Определение Верховного Суда РФ от 17.01.2022 N 309-ЭС21-26466 по делу N А76-52849/2020 Требование: О пересмотре в кассационном порядке судебных актов по делу о признании недействительным решения налогового органа. Обжалуемый результат спора: В удовлетворении требования отказано, так как вышестоящий орган установил нарушение закона, допущенное при проведении налогового контроля, которое заключается в установлении нижестоящим органом соответствия представленных для обоснования права на вычет НДС документов но {КонсультантПлюс}">
        <w:r>
          <w:rPr>
            <w:sz w:val="20"/>
            <w:color w:val="0000ff"/>
          </w:rPr>
          <w:t xml:space="preserve">N 309-ЭС21-26466</w:t>
        </w:r>
      </w:hyperlink>
      <w:r>
        <w:rPr>
          <w:sz w:val="20"/>
        </w:rPr>
        <w:t xml:space="preserve"> и других.</w:t>
      </w:r>
    </w:p>
    <w:p>
      <w:pPr>
        <w:pStyle w:val="0"/>
        <w:spacing w:before="200" w:lineRule="auto"/>
        <w:ind w:firstLine="540"/>
        <w:jc w:val="both"/>
      </w:pPr>
      <w:r>
        <w:rPr>
          <w:sz w:val="20"/>
        </w:rPr>
        <w:t xml:space="preserve">Судами первой и апелляционной инстанций установлено и сторонами не оспаривается, что общество "Архстройпроект" в проверяемом периоде осуществляло деятельность по выполнению строительно-монтажных работ по капитальному ремонту конструктивных элементов многоквартирных домов по договорам подряда, заключенным с обществом с ограниченной ответственностью "Югорский фонд капитального ремонта многоквартирных домов". Для выполнения указанных работ привлечены подрядчики и для поставки товаров, необходимых для выполнения названных работ, привлечены поставщики из числа поименованных выше контрагентов.</w:t>
      </w:r>
    </w:p>
    <w:p>
      <w:pPr>
        <w:pStyle w:val="0"/>
        <w:spacing w:before="200" w:lineRule="auto"/>
        <w:ind w:firstLine="540"/>
        <w:jc w:val="both"/>
      </w:pPr>
      <w:r>
        <w:rPr>
          <w:sz w:val="20"/>
        </w:rPr>
        <w:t xml:space="preserve">Объекты строительства (многоквартирные дома), на которых выполнялись данные работы, располагаются по адресам: город Пыть-Ях, мкр. 1-ый Центральный, дом 12, мкр. 1 дом 4, 5, 7, 8, 9, 10, 13, 17 20, дом 6 - 24, мкр. 2-ой Нефтяников, дом 8, поселок Светлый ул. Первопроходцев, дом 64, город Когалым, мкр. Лесников, дом 16, ул. Ст. Повха, дом 2, ул. Таллинская, дом 1а, ул. Прибалтийская, дом 13, город Нефтеюганск, мкр. 8, дом 1, город Ханты-Мансийск, ул. Энгельса, дом 15.</w:t>
      </w:r>
    </w:p>
    <w:p>
      <w:pPr>
        <w:pStyle w:val="0"/>
        <w:spacing w:before="200" w:lineRule="auto"/>
        <w:ind w:firstLine="540"/>
        <w:jc w:val="both"/>
      </w:pPr>
      <w:r>
        <w:rPr>
          <w:sz w:val="20"/>
        </w:rPr>
        <w:t xml:space="preserve">Материалами дела подтверждается, что налогоплательщиком заявлен к вычету НДС по счетам-фактурам, выставленным обществами "СТ-Технологии", "Оптстрой", "Промресурс", "Челябспецмаш", "Атриум", "НПК Горизонт", "Стройинвест", "Гарант Строй Резерв", "Лада-Металл", "Регионторг", "Омега", "Завод Спецподъемоборудование", "Компания Фортуна-СМ", "Орион", "Гранд", "Оптическая компания плюс", "Монолит", "Авто-Трейд", "Триумф", "Эталон", "Бастион", "Челябспецмаш", "Формула про", "Модуль-строй", "Турал", "Юграспецстрой", "Джуниор", "Эскаладо", "Гермес Урал" по договорам поставки товаров (в частности, техноруфа, доски обрезной, ножовки, саморезы, листы поддоны, сайдинг, профиль, штукатурка декоративная силиконовая, сайдинг, шпаклевка, труба эл/с д 89) для осуществления указанной деятельности и выполнения названных работ.</w:t>
      </w:r>
    </w:p>
    <w:p>
      <w:pPr>
        <w:pStyle w:val="0"/>
        <w:spacing w:before="200" w:lineRule="auto"/>
        <w:ind w:firstLine="540"/>
        <w:jc w:val="both"/>
      </w:pPr>
      <w:r>
        <w:rPr>
          <w:sz w:val="20"/>
          <w:highlight w:val="yellow"/>
        </w:rPr>
        <w:t xml:space="preserve">Из материалов дела следует, что по результатам проверки налоговый орган пришел к выводу о создании налогоплательщиком формального документооборота с целью получения необоснованной налоговой выгоды по взаимоотношениям между обществом "Архстройпроект" и спорными контрагентами при установленной фиктивности и нереальности указанных сделок, действительной целью заключенных сделок являлось необоснованное получение налоговой экономии в виде завышения вычетов при исчислении НДС, завышение расходов по налогу на прибыль организаций.</w:t>
      </w:r>
    </w:p>
    <w:p>
      <w:pPr>
        <w:pStyle w:val="0"/>
        <w:spacing w:before="200" w:lineRule="auto"/>
        <w:ind w:firstLine="540"/>
        <w:jc w:val="both"/>
      </w:pPr>
      <w:r>
        <w:rPr>
          <w:sz w:val="20"/>
          <w:highlight w:val="yellow"/>
        </w:rPr>
        <w:t xml:space="preserve">В подтверждение данного вывода налоговый орган ссылается на установленные проверкой обстоятельства, в частности, наличие у спорных контрагентов признаков сомнительных организаций, в том числе отсутствие у данных организаций трудовых и материальных ресурсов для исполнения обязательств, перечислений заработной платы работникам, документы, подтверждающие фактическое использование товаров при выполнении работ, не представлены, отсутствие оплаты за спорные товары и работы и прочее.</w:t>
      </w:r>
    </w:p>
    <w:p>
      <w:pPr>
        <w:pStyle w:val="0"/>
        <w:spacing w:before="200" w:lineRule="auto"/>
        <w:ind w:firstLine="540"/>
        <w:jc w:val="both"/>
      </w:pPr>
      <w:r>
        <w:rPr>
          <w:sz w:val="20"/>
        </w:rPr>
        <w:t xml:space="preserve">Вместе с тем апелляционным судом установлены следующие обстоятельства:</w:t>
      </w:r>
    </w:p>
    <w:p>
      <w:pPr>
        <w:pStyle w:val="0"/>
        <w:spacing w:before="200" w:lineRule="auto"/>
        <w:ind w:firstLine="540"/>
        <w:jc w:val="both"/>
      </w:pPr>
      <w:r>
        <w:rPr>
          <w:sz w:val="20"/>
        </w:rPr>
        <w:t xml:space="preserve">- по бухгалтерским регистрам, универсальным передаточным документам от 11.08.2016, от 02.09.2016, от 16.12.2016, от 21.04.2017, от 24.10.2017, от 24.11.2017, от 12.12.2017, по договорам подряда от 07.12.2016, от 21.03.2017, от 14.09.2017, от 01.11.2017, от 11.11.2017, на перечисленных выше объектах налогоплательщиком по актам </w:t>
      </w:r>
      <w:hyperlink w:history="0" r:id="rId43" w:tooltip="&quot;Альбом унифицированных форм первичной учетной документации по учету работ в капитальном строительстве и ремонтно-строительных работ&quot; (формы утверждены Постановлением Госкомстата РФ от 11.11.1999 N 100) {КонсультантПлюс}">
        <w:r>
          <w:rPr>
            <w:sz w:val="20"/>
            <w:color w:val="0000ff"/>
          </w:rPr>
          <w:t xml:space="preserve">КС-2</w:t>
        </w:r>
      </w:hyperlink>
      <w:r>
        <w:rPr>
          <w:sz w:val="20"/>
        </w:rPr>
        <w:t xml:space="preserve"> с поименованным выше заказчиком от 26.12.2016, от 23.10.2017, от 31.12.2017 приняты выполненные спорные работы и товары, переданы заказчику и/или в производство, оплачены в полном объеме платежными поручениями, в том числе от 24.10.2017 N 610, от 23.11.2017 N 710, от 24.11.2017 N 714, от 12.12.2017 N 763, что также частично подтверждено актом сверки с налоговым органом от 04.03.2025;</w:t>
      </w:r>
    </w:p>
    <w:p>
      <w:pPr>
        <w:pStyle w:val="0"/>
        <w:spacing w:before="200" w:lineRule="auto"/>
        <w:ind w:firstLine="540"/>
        <w:jc w:val="both"/>
      </w:pPr>
      <w:r>
        <w:rPr>
          <w:sz w:val="20"/>
        </w:rPr>
        <w:t xml:space="preserve">- расходы по налогу на прибыль учтены в 2016, 2017 годах, НДС принят к вычету в проверяемом периоде, в 2018 году;</w:t>
      </w:r>
    </w:p>
    <w:p>
      <w:pPr>
        <w:pStyle w:val="0"/>
        <w:spacing w:before="200" w:lineRule="auto"/>
        <w:ind w:firstLine="540"/>
        <w:jc w:val="both"/>
      </w:pPr>
      <w:r>
        <w:rPr>
          <w:sz w:val="20"/>
        </w:rPr>
        <w:t xml:space="preserve">- спорные работы оплачены заказчиком в полном объеме;</w:t>
      </w:r>
    </w:p>
    <w:p>
      <w:pPr>
        <w:pStyle w:val="0"/>
        <w:spacing w:before="200" w:lineRule="auto"/>
        <w:ind w:firstLine="540"/>
        <w:jc w:val="both"/>
      </w:pPr>
      <w:r>
        <w:rPr>
          <w:sz w:val="20"/>
        </w:rPr>
        <w:t xml:space="preserve">- обществом "Архстройпроект" и инспекцией в ходе рассмотрения дела в суде первой инстанции составлены товарные балансы по поставленным товарам применительно к каждому контрагенту, в частности, обществам "Промресурс", "НПК Горизонт", "Стройинвест", с учетом входящих остатков на 01.01.2018 и поставок аналогичной номенклатуры и количества товаров другими поставщиками, помимо спорных. Исследовав и оценив товарные балансы, судом установлено, что все поставленные названными обществами товары использованы в полном объеме при выполнении работ на конкретных объектах строительства, перечисленных выше;</w:t>
      </w:r>
    </w:p>
    <w:p>
      <w:pPr>
        <w:pStyle w:val="0"/>
        <w:spacing w:before="200" w:lineRule="auto"/>
        <w:ind w:firstLine="540"/>
        <w:jc w:val="both"/>
      </w:pPr>
      <w:r>
        <w:rPr>
          <w:sz w:val="20"/>
        </w:rPr>
        <w:t xml:space="preserve">- установлены фактические обстоятельства, свидетельствующие об ординарности сделок налогоплательщика с контрагентами, в частности, с обществами "СТ-Технологии", "Оптстрой", "Промресурс", "Челябспецмаш", "Атриум", "НПК Горизонт", "Стройинвест" в его хозяйственном обороте, проявлении налогоплательщиком должной степени осмотрительности при выборе контрагентов при совершении таких сделок;</w:t>
      </w:r>
    </w:p>
    <w:p>
      <w:pPr>
        <w:pStyle w:val="0"/>
        <w:spacing w:before="200" w:lineRule="auto"/>
        <w:ind w:firstLine="540"/>
        <w:jc w:val="both"/>
      </w:pPr>
      <w:r>
        <w:rPr>
          <w:sz w:val="20"/>
        </w:rPr>
        <w:t xml:space="preserve">- представлен список физических лиц привлеченных спорными контрагентами, в частности обществами "Лада-Металл", "Гранд", для выполнения работ, а именно: Голованов В.В., Сподырякин С.А., Пузачев С.Ю., Захватанна Е.А., Иванов С.В. Бектимирова Л.П., Аминев Р.Р., Хатипов Р.М., Шикунов С.М., Михайлов А.Г., прораб Токарев С.В., начальник участка объекта Вахрушев А.С. Левин Е.Н., Джумагалиев А.Н., Иванов А.Н., Иванцов С.П., Буслюк А.А. (приложены копии паспортов);</w:t>
      </w:r>
    </w:p>
    <w:p>
      <w:pPr>
        <w:pStyle w:val="0"/>
        <w:spacing w:before="200" w:lineRule="auto"/>
        <w:ind w:firstLine="540"/>
        <w:jc w:val="both"/>
      </w:pPr>
      <w:r>
        <w:rPr>
          <w:sz w:val="20"/>
        </w:rPr>
        <w:t xml:space="preserve">- из свидетельских показаний, в том числе Захарова А.Н., Кочнева А.В., Вахрушева А.С. и других должностных лиц указанных контрагентов и общества "Архстройпроект", подтверждена реальность спорных взаимоотношений, выполнение работ с привлечением, в том числе поименованных физических лиц;</w:t>
      </w:r>
    </w:p>
    <w:p>
      <w:pPr>
        <w:pStyle w:val="0"/>
        <w:spacing w:before="200" w:lineRule="auto"/>
        <w:ind w:firstLine="540"/>
        <w:jc w:val="both"/>
      </w:pPr>
      <w:r>
        <w:rPr>
          <w:sz w:val="20"/>
        </w:rPr>
        <w:t xml:space="preserve">- представлены налоговые декларации по НДС спорных контрагентов.</w:t>
      </w:r>
    </w:p>
    <w:p>
      <w:pPr>
        <w:pStyle w:val="0"/>
        <w:spacing w:before="200" w:lineRule="auto"/>
        <w:ind w:firstLine="540"/>
        <w:jc w:val="both"/>
      </w:pPr>
      <w:r>
        <w:rPr>
          <w:sz w:val="20"/>
        </w:rPr>
        <w:t xml:space="preserve">В целом выводы судов первой и апелляционной инстанций подробно мотивированы, соответствуют содержанию исследованных судами доказательств и норм материального права, регулирующих спорные правоотношения, и не вызывают у кассационного суда сомнений в их законности и обоснованности.</w:t>
      </w:r>
    </w:p>
    <w:p>
      <w:pPr>
        <w:pStyle w:val="0"/>
        <w:spacing w:before="200" w:lineRule="auto"/>
        <w:ind w:firstLine="540"/>
        <w:jc w:val="both"/>
      </w:pPr>
      <w:r>
        <w:rPr>
          <w:sz w:val="20"/>
        </w:rPr>
        <w:t xml:space="preserve">Принимая во внимание совокупность доказательств, свидетельствующих о приобретении налогоплательщиком спорных товаров и работ для осуществления операций, признаваемых объектами налогообложения в соответствии с </w:t>
      </w:r>
      <w:hyperlink w:history="0" r:id="rId44" w:tooltip="&quot;Налоговый кодекс Российской Федерации (часть вторая)&quot; от 05.08.2000 N 117-ФЗ (ред. от 28.12.2024, с изм. от 21.01.2025) (с изм. и доп., вступ. в силу с 01.04.2025) ------------ Недействующая редакция {КонсультантПлюс}">
        <w:r>
          <w:rPr>
            <w:sz w:val="20"/>
            <w:color w:val="0000ff"/>
          </w:rPr>
          <w:t xml:space="preserve">главой 21</w:t>
        </w:r>
      </w:hyperlink>
      <w:r>
        <w:rPr>
          <w:sz w:val="20"/>
        </w:rPr>
        <w:t xml:space="preserve"> НК РФ, а также об уплате НДС со спорных сделок, </w:t>
      </w:r>
      <w:r>
        <w:rPr>
          <w:sz w:val="20"/>
          <w:highlight w:val="yellow"/>
        </w:rPr>
        <w:t xml:space="preserve">суд апелляционной инстанции</w:t>
      </w:r>
      <w:r>
        <w:rPr>
          <w:sz w:val="20"/>
        </w:rPr>
        <w:t xml:space="preserve">, руководствуясь действующим законодательством Российской Федерации, а также практикой его применения, основываясь на правовых подходах Конституционного и Верховного Судов Российской Федерации, оценил обстоятельства конкретного дела и, исследовав имеющиеся в материалах дела доказательства в совокупности, п</w:t>
      </w:r>
      <w:r>
        <w:rPr>
          <w:sz w:val="20"/>
          <w:highlight w:val="yellow"/>
        </w:rPr>
        <w:t xml:space="preserve">ришел к правильному выводу о неправомерности оспоренного решения правопредшественника МИФНС России N 29 по Челябинской области в указанной выше части, поскольку положенные в их основу обстоятельства налоговым органом не доказаны, тогда как условия вычетов по НДС налогоплательщиком соблюдены. Подателем жалобы в порядке </w:t>
      </w:r>
      <w:hyperlink w:history="0" r:id="rId45" w:tooltip="&quot;Арбитражный процессуальный кодекс Российской Федерации&quot; от 24.07.2002 N 95-ФЗ (ред. от 15.12.2025) (с изм. и доп., вступ. в силу с 01.01.2026) {КонсультантПлюс}">
        <w:r>
          <w:rPr>
            <w:sz w:val="20"/>
            <w:color w:val="0000ff"/>
            <w:highlight w:val="yellow"/>
          </w:rPr>
          <w:t xml:space="preserve">статьи 65</w:t>
        </w:r>
      </w:hyperlink>
      <w:r>
        <w:rPr>
          <w:sz w:val="20"/>
          <w:highlight w:val="yellow"/>
        </w:rPr>
        <w:t xml:space="preserve"> Арбитражного процессуального кодекса Российской Федерации данные факты не опровергнуты.</w:t>
      </w:r>
    </w:p>
    <w:p>
      <w:pPr>
        <w:pStyle w:val="0"/>
        <w:spacing w:before="200" w:lineRule="auto"/>
        <w:ind w:firstLine="540"/>
        <w:jc w:val="both"/>
      </w:pPr>
      <w:r>
        <w:rPr>
          <w:sz w:val="20"/>
          <w:highlight w:val="yellow"/>
        </w:rPr>
        <w:t xml:space="preserve">Утверждения инспекции касаемо нереальности спорных взаимоотношений, а также относительно создания условий для получения налогоплательщиком необоснованной налоговой выгоды и формального документооборота, судом кассационной инстанции отклоняются, поскольку они опровергаются имеющимися в материалах дела доказательствами, которые были исследованы судами первой и апелляционной инстанций в надлежащем порядке и получили соответствующую правовую оценку, из которой справедливо следует, что налоговым органом не опровергнуто выполнение работ в адрес налогоплательщика и их передача заказчику, как указано выше, обстоятельства согласованных действий налогоплательщика со спорными контрагентами не установлены, не добыты. При этом апелляционным судом обосновано указано на то, что вопреки выводам суда первой инстанции о создании обществом "Архстройпроект" формального документооборота со спорными контрагентами, из материалов дела следует наличие деловой цели у налогоплательщика для вступления во взаимоотношения со спорными контрагентами, целью которых являлось получение экономической выгоды от выполнения работ для обществом с ограниченной ответственностью "Югорский фонд капитального ремонта многоквартирных домов", результат которых достигнут, совокупностью доказательств установлены реальные финансово-хозяйственные операции налогоплательщика с заявленными контрагентами. Оснований для переоценки выводов судов в указанной части кассационный суд не усматривает.</w:t>
      </w:r>
    </w:p>
    <w:p>
      <w:pPr>
        <w:pStyle w:val="0"/>
        <w:spacing w:before="200" w:lineRule="auto"/>
        <w:ind w:firstLine="540"/>
        <w:jc w:val="both"/>
      </w:pPr>
      <w:r>
        <w:rPr>
          <w:sz w:val="20"/>
        </w:rPr>
        <w:t xml:space="preserve">Учитывая изложенное, на основании имеющихся в деле доказательств, исследованных согласно требованиям </w:t>
      </w:r>
      <w:hyperlink w:history="0" r:id="rId46" w:tooltip="&quot;Арбитражный процессуальный кодекс Российской Федерации&quot; от 24.07.2002 N 95-ФЗ (ред. от 15.12.2025) (с изм. и доп., вступ. в силу с 01.01.2026) {КонсультантПлюс}">
        <w:r>
          <w:rPr>
            <w:sz w:val="20"/>
            <w:color w:val="0000ff"/>
          </w:rPr>
          <w:t xml:space="preserve">статей 65</w:t>
        </w:r>
      </w:hyperlink>
      <w:r>
        <w:rPr>
          <w:sz w:val="20"/>
        </w:rPr>
        <w:t xml:space="preserve">, </w:t>
      </w:r>
      <w:hyperlink w:history="0" r:id="rId47" w:tooltip="&quot;Арбитражный процессуальный кодекс Российской Федерации&quot; от 24.07.2002 N 95-ФЗ (ред. от 15.12.2025) (с изм. и доп., вступ. в силу с 01.01.2026) {КонсультантПлюс}">
        <w:r>
          <w:rPr>
            <w:sz w:val="20"/>
            <w:color w:val="0000ff"/>
          </w:rPr>
          <w:t xml:space="preserve">67</w:t>
        </w:r>
      </w:hyperlink>
      <w:r>
        <w:rPr>
          <w:sz w:val="20"/>
        </w:rPr>
        <w:t xml:space="preserve">, </w:t>
      </w:r>
      <w:hyperlink w:history="0" r:id="rId48" w:tooltip="&quot;Арбитражный процессуальный кодекс Российской Федерации&quot; от 24.07.2002 N 95-ФЗ (ред. от 15.12.2025) (с изм. и доп., вступ. в силу с 01.01.2026) {КонсультантПлюс}">
        <w:r>
          <w:rPr>
            <w:sz w:val="20"/>
            <w:color w:val="0000ff"/>
          </w:rPr>
          <w:t xml:space="preserve">68</w:t>
        </w:r>
      </w:hyperlink>
      <w:r>
        <w:rPr>
          <w:sz w:val="20"/>
        </w:rPr>
        <w:t xml:space="preserve"> Арбитражного процессуального кодекса Российской Федерации, суд апелляционной инстанции обоснованно удовлетворил требования общества "Архстройпроект" о признании недействительным решения правопредшественника МИФНС России N 29 по Челябинской области от 06.10.2022 N 22 о привлечении к ответственности за совершение налогового правонарушения в указанной выше части.</w:t>
      </w:r>
    </w:p>
    <w:p>
      <w:pPr>
        <w:pStyle w:val="0"/>
        <w:spacing w:before="200" w:lineRule="auto"/>
        <w:ind w:firstLine="540"/>
        <w:jc w:val="both"/>
      </w:pPr>
      <w:r>
        <w:rPr>
          <w:sz w:val="20"/>
        </w:rPr>
        <w:t xml:space="preserve">При рассмотрении спора апелляционным судом в соответствии со </w:t>
      </w:r>
      <w:hyperlink w:history="0" r:id="rId49" w:tooltip="&quot;Арбитражный процессуальный кодекс Российской Федерации&quot; от 24.07.2002 N 95-ФЗ (ред. от 15.12.2025) (с изм. и доп., вступ. в силу с 01.01.2026) {КонсультантПлюс}">
        <w:r>
          <w:rPr>
            <w:sz w:val="20"/>
            <w:color w:val="0000ff"/>
          </w:rPr>
          <w:t xml:space="preserve">статьей 71</w:t>
        </w:r>
      </w:hyperlink>
      <w:r>
        <w:rPr>
          <w:sz w:val="20"/>
        </w:rPr>
        <w:t xml:space="preserve"> названного Кодекса дана надлежащая правовая оценка имеющимся в материалах дела доказательствам. В силу </w:t>
      </w:r>
      <w:hyperlink w:history="0" r:id="rId50" w:tooltip="&quot;Арбитражный процессуальный кодекс Российской Федерации&quot; от 24.07.2002 N 95-ФЗ (ред. от 15.12.2025) (с изм. и доп., вступ. в силу с 01.01.2026) {КонсультантПлюс}">
        <w:r>
          <w:rPr>
            <w:sz w:val="20"/>
            <w:color w:val="0000ff"/>
          </w:rPr>
          <w:t xml:space="preserve">частей 1</w:t>
        </w:r>
      </w:hyperlink>
      <w:r>
        <w:rPr>
          <w:sz w:val="20"/>
        </w:rPr>
        <w:t xml:space="preserve">, </w:t>
      </w:r>
      <w:hyperlink w:history="0" r:id="rId51" w:tooltip="&quot;Арбитражный процессуальный кодекс Российской Федерации&quot; от 24.07.2002 N 95-ФЗ (ред. от 15.12.2025) (с изм. и доп., вступ. в силу с 01.01.2026) {КонсультантПлюс}">
        <w:r>
          <w:rPr>
            <w:sz w:val="20"/>
            <w:color w:val="0000ff"/>
          </w:rPr>
          <w:t xml:space="preserve">2 статьи 65</w:t>
        </w:r>
      </w:hyperlink>
      <w:r>
        <w:rPr>
          <w:sz w:val="20"/>
        </w:rPr>
        <w:t xml:space="preserve"> Арбитражного процессуального кодекса Российской Федерации имеющие правовое значение для дела обстоятельства определены судом с учетом существа спора, на основании доводов и возражений лиц, участвующих в деле, в соответствии с подлежащими применению нормами права.</w:t>
      </w:r>
    </w:p>
    <w:p>
      <w:pPr>
        <w:pStyle w:val="0"/>
        <w:spacing w:before="200" w:lineRule="auto"/>
        <w:ind w:firstLine="540"/>
        <w:jc w:val="both"/>
      </w:pPr>
      <w:r>
        <w:rPr>
          <w:sz w:val="20"/>
        </w:rPr>
        <w:t xml:space="preserve">Все аргументы налогового органа, приведенные в кассационной жалобе, были предметом рассмотрения суда апелляционной инстанции и им дана надлежащая правовая оценка, при этом иное толкование подателем жалобы положений законодательства, а также иная оценка обстоятельств рассматриваемого дела не свидетельствуют о нарушении судом норм права, а потому не опровергают правильность выводов апелляционного суда, а направлены на переоценку положенных в их основу доказательств, в связи с чем не могут быть приняты во внимание судом кассационной инстанции (</w:t>
      </w:r>
      <w:hyperlink w:history="0" r:id="rId52" w:tooltip="&quot;Арбитражный процессуальный кодекс Российской Федерации&quot; от 24.07.2002 N 95-ФЗ (ред. от 15.12.2025) (с изм. и доп., вступ. в силу с 01.01.2026) {КонсультантПлюс}">
        <w:r>
          <w:rPr>
            <w:sz w:val="20"/>
            <w:color w:val="0000ff"/>
          </w:rPr>
          <w:t xml:space="preserve">статья 286</w:t>
        </w:r>
      </w:hyperlink>
      <w:r>
        <w:rPr>
          <w:sz w:val="20"/>
        </w:rPr>
        <w:t xml:space="preserve"> Арбитражного процессуального кодекса Российской Федерации, </w:t>
      </w:r>
      <w:hyperlink w:history="0" r:id="rId53" w:tooltip="Постановление Пленума Верховного Суда РФ от 30.06.2020 N 13 &quot;О применении Арбитражного процессуального кодекса Российской Федерации при рассмотрении дел в арбитражном суде кассационной инстанции&quot; {КонсультантПлюс}">
        <w:r>
          <w:rPr>
            <w:sz w:val="20"/>
            <w:color w:val="0000ff"/>
          </w:rPr>
          <w:t xml:space="preserve">пункт 32</w:t>
        </w:r>
      </w:hyperlink>
      <w:r>
        <w:rPr>
          <w:sz w:val="20"/>
        </w:rPr>
        <w:t xml:space="preserve"> Постановления Пленума Верховного Суда Российской Федерации от 30.06.2020 N 13 "О применении Арбитражного процессуального кодекса Российской Федерации при рассмотрении дел в арбитражном суде кассационной инстанции").</w:t>
      </w:r>
    </w:p>
    <w:p>
      <w:pPr>
        <w:pStyle w:val="0"/>
        <w:spacing w:before="200" w:lineRule="auto"/>
        <w:ind w:firstLine="540"/>
        <w:jc w:val="both"/>
      </w:pPr>
      <w:r>
        <w:rPr>
          <w:sz w:val="20"/>
        </w:rPr>
        <w:t xml:space="preserve">Согласно правовой позиции Конституционного Суда Российской Федерации, приведенной, в том числе в </w:t>
      </w:r>
      <w:hyperlink w:history="0" r:id="rId54" w:tooltip="Определение Конституционного Суда РФ от 17.02.2015 N 274-О &quot;Об отказе в принятии к рассмотрению жалобы гражданина Дериглазова Юрия Харитоновича на нарушение его конституционных прав статьями 286 - 288 Арбитражного процессуального кодекса Российской Федерации&quot; {КонсультантПлюс}">
        <w:r>
          <w:rPr>
            <w:sz w:val="20"/>
            <w:color w:val="0000ff"/>
          </w:rPr>
          <w:t xml:space="preserve">определении</w:t>
        </w:r>
      </w:hyperlink>
      <w:r>
        <w:rPr>
          <w:sz w:val="20"/>
        </w:rPr>
        <w:t xml:space="preserve"> от 17.02.2015 N 274-0, </w:t>
      </w:r>
      <w:hyperlink w:history="0" r:id="rId55" w:tooltip="&quot;Арбитражный процессуальный кодекс Российской Федерации&quot; от 24.07.2002 N 95-ФЗ (ред. от 15.12.2025) (с изм. и доп., вступ. в силу с 01.01.2026) {КонсультантПлюс}">
        <w:r>
          <w:rPr>
            <w:sz w:val="20"/>
            <w:color w:val="0000ff"/>
          </w:rPr>
          <w:t xml:space="preserve">статьи 286</w:t>
        </w:r>
      </w:hyperlink>
      <w:r>
        <w:rPr>
          <w:sz w:val="20"/>
        </w:rPr>
        <w:t xml:space="preserve"> - </w:t>
      </w:r>
      <w:hyperlink w:history="0" r:id="rId56" w:tooltip="&quot;Арбитражный процессуальный кодекс Российской Федерации&quot; от 24.07.2002 N 95-ФЗ (ред. от 15.12.2025) (с изм. и доп., вступ. в силу с 01.01.2026) {КонсультантПлюс}">
        <w:r>
          <w:rPr>
            <w:sz w:val="20"/>
            <w:color w:val="0000ff"/>
          </w:rPr>
          <w:t xml:space="preserve">288</w:t>
        </w:r>
      </w:hyperlink>
      <w:r>
        <w:rPr>
          <w:sz w:val="20"/>
        </w:rPr>
        <w:t xml:space="preserve"> Арбитражного процессуального кодекса Российской Федерации, находясь в системной связи с другими положениями данного </w:t>
      </w:r>
      <w:hyperlink w:history="0" r:id="rId57" w:tooltip="&quot;Арбитражный процессуальный кодекс Российской Федерации&quot; от 24.07.2002 N 95-ФЗ (ред. от 15.12.2025) (с изм. и доп., вступ. в силу с 01.01.2026) {КонсультантПлюс}">
        <w:r>
          <w:rPr>
            <w:sz w:val="20"/>
            <w:color w:val="0000ff"/>
          </w:rPr>
          <w:t xml:space="preserve">Кодекса</w:t>
        </w:r>
      </w:hyperlink>
      <w:r>
        <w:rPr>
          <w:sz w:val="20"/>
        </w:rPr>
        <w:t xml:space="preserve">, регламентирующими производство в суде округа, предоставляют суду округа при проверке судебных актов право оценивать лишь правильность применения нижестоящими судами норм материального и процессуального права и не позволяют ему непосредственно исследовать доказательства и устанавливать фактические обстоятельства дела.</w:t>
      </w:r>
    </w:p>
    <w:p>
      <w:pPr>
        <w:pStyle w:val="0"/>
        <w:spacing w:before="200" w:lineRule="auto"/>
        <w:ind w:firstLine="540"/>
        <w:jc w:val="both"/>
      </w:pPr>
      <w:r>
        <w:rPr>
          <w:sz w:val="20"/>
        </w:rPr>
        <w:t xml:space="preserve">Иное позволяло бы суду кассационной инстанции подменять суды первой и второй инстанций, которые самостоятельно исследуют и оценивают доказательства, устанавливают фактические обстоятельства дела на основе принципов состязательности, равноправия сторон и непосредственности судебного разбирательства, что недопустимо.</w:t>
      </w:r>
    </w:p>
    <w:p>
      <w:pPr>
        <w:pStyle w:val="0"/>
        <w:spacing w:before="200" w:lineRule="auto"/>
        <w:ind w:firstLine="540"/>
        <w:jc w:val="both"/>
      </w:pPr>
      <w:r>
        <w:rPr>
          <w:sz w:val="20"/>
        </w:rPr>
        <w:t xml:space="preserve">Постановление суда апелляционной инстанции соответствует нормам материального права, а содержащиеся в нем выводы - установленным по делу фактическим обстоятельствам и имеющимся в деле доказательствам.</w:t>
      </w:r>
    </w:p>
    <w:p>
      <w:pPr>
        <w:pStyle w:val="0"/>
        <w:spacing w:before="200" w:lineRule="auto"/>
        <w:ind w:firstLine="540"/>
        <w:jc w:val="both"/>
      </w:pPr>
      <w:r>
        <w:rPr>
          <w:sz w:val="20"/>
        </w:rPr>
        <w:t xml:space="preserve">Нарушений норм процессуального права, являющихся в силу </w:t>
      </w:r>
      <w:hyperlink w:history="0" r:id="rId58" w:tooltip="&quot;Арбитражный процессуальный кодекс Российской Федерации&quot; от 24.07.2002 N 95-ФЗ (ред. от 15.12.2025) (с изм. и доп., вступ. в силу с 01.01.2026) {КонсультантПлюс}">
        <w:r>
          <w:rPr>
            <w:sz w:val="20"/>
            <w:color w:val="0000ff"/>
          </w:rPr>
          <w:t xml:space="preserve">части 4 статьи 288</w:t>
        </w:r>
      </w:hyperlink>
      <w:r>
        <w:rPr>
          <w:sz w:val="20"/>
        </w:rPr>
        <w:t xml:space="preserve"> Арбитражного процессуального кодекса Российской Федерации безусловным основанием для отмены судебного акта, не выявлено.</w:t>
      </w:r>
    </w:p>
    <w:p>
      <w:pPr>
        <w:pStyle w:val="0"/>
        <w:spacing w:before="200" w:lineRule="auto"/>
        <w:ind w:firstLine="540"/>
        <w:jc w:val="both"/>
      </w:pPr>
      <w:r>
        <w:rPr>
          <w:sz w:val="20"/>
        </w:rPr>
        <w:t xml:space="preserve">С учетом изложенного обжалуемые судебные акты подлежат оставлению без изменения, кассационная жалоба - без удовлетворения.</w:t>
      </w:r>
    </w:p>
    <w:p>
      <w:pPr>
        <w:pStyle w:val="0"/>
        <w:spacing w:before="200" w:lineRule="auto"/>
        <w:ind w:firstLine="540"/>
        <w:jc w:val="both"/>
      </w:pPr>
      <w:r>
        <w:rPr>
          <w:sz w:val="20"/>
        </w:rPr>
        <w:t xml:space="preserve">Руководствуясь </w:t>
      </w:r>
      <w:hyperlink w:history="0" r:id="rId59" w:tooltip="&quot;Арбитражный процессуальный кодекс Российской Федерации&quot; от 24.07.2002 N 95-ФЗ (ред. от 15.12.2025) (с изм. и доп., вступ. в силу с 01.01.2026) {КонсультантПлюс}">
        <w:r>
          <w:rPr>
            <w:sz w:val="20"/>
            <w:color w:val="0000ff"/>
          </w:rPr>
          <w:t xml:space="preserve">статьями 286</w:t>
        </w:r>
      </w:hyperlink>
      <w:r>
        <w:rPr>
          <w:sz w:val="20"/>
        </w:rPr>
        <w:t xml:space="preserve">, </w:t>
      </w:r>
      <w:hyperlink w:history="0" r:id="rId60" w:tooltip="&quot;Арбитражный процессуальный кодекс Российской Федерации&quot; от 24.07.2002 N 95-ФЗ (ред. от 15.12.2025) (с изм. и доп., вступ. в силу с 01.01.2026) {КонсультантПлюс}">
        <w:r>
          <w:rPr>
            <w:sz w:val="20"/>
            <w:color w:val="0000ff"/>
          </w:rPr>
          <w:t xml:space="preserve">287</w:t>
        </w:r>
      </w:hyperlink>
      <w:r>
        <w:rPr>
          <w:sz w:val="20"/>
        </w:rPr>
        <w:t xml:space="preserve">, </w:t>
      </w:r>
      <w:hyperlink w:history="0" r:id="rId61" w:tooltip="&quot;Арбитражный процессуальный кодекс Российской Федерации&quot; от 24.07.2002 N 95-ФЗ (ред. от 15.12.2025) (с изм. и доп., вступ. в силу с 01.01.2026) {КонсультантПлюс}">
        <w:r>
          <w:rPr>
            <w:sz w:val="20"/>
            <w:color w:val="0000ff"/>
          </w:rPr>
          <w:t xml:space="preserve">289</w:t>
        </w:r>
      </w:hyperlink>
      <w:r>
        <w:rPr>
          <w:sz w:val="20"/>
        </w:rPr>
        <w:t xml:space="preserve"> Арбитражного процессуального кодекса Российской Федерации, суд</w:t>
      </w:r>
    </w:p>
    <w:p>
      <w:pPr>
        <w:pStyle w:val="0"/>
        <w:jc w:val="center"/>
      </w:pPr>
      <w:r>
        <w:rPr>
          <w:sz w:val="20"/>
        </w:rPr>
      </w:r>
    </w:p>
    <w:p>
      <w:pPr>
        <w:pStyle w:val="0"/>
        <w:jc w:val="center"/>
      </w:pPr>
      <w:r>
        <w:rPr>
          <w:sz w:val="20"/>
        </w:rPr>
        <w:t xml:space="preserve">постановил:</w:t>
      </w:r>
    </w:p>
    <w:p>
      <w:pPr>
        <w:pStyle w:val="0"/>
        <w:jc w:val="center"/>
      </w:pPr>
      <w:r>
        <w:rPr>
          <w:sz w:val="20"/>
        </w:rPr>
      </w:r>
    </w:p>
    <w:p>
      <w:pPr>
        <w:pStyle w:val="0"/>
        <w:ind w:firstLine="540"/>
        <w:jc w:val="both"/>
      </w:pPr>
      <w:hyperlink w:history="0" r:id="rId62" w:tooltip="Постановление Восемнадцатого арбитражного апелляционного суда от 22.10.2025 N 18АП-5833/2025, 18АП-5834/2025 по делу N А76-12540/2023 Требование: О признании недействительным решения налогового органа о привлечении к ответственности за совершение налогового правонарушения в части начисления налога на добавленную стоимость, пеней по НДС, штрафа по НДС, налога на прибыль, пеней по налогу на прибыль, штрафа. Решение: Решение первой инстанции изменено, отменено. Производство по делу прекращено. {КонсультантПлюс}">
        <w:r>
          <w:rPr>
            <w:sz w:val="20"/>
            <w:color w:val="0000ff"/>
          </w:rPr>
          <w:t xml:space="preserve">постановление</w:t>
        </w:r>
      </w:hyperlink>
      <w:r>
        <w:rPr>
          <w:sz w:val="20"/>
        </w:rPr>
        <w:t xml:space="preserve"> Восемнадцатого арбитражного апелляционного суда от 22.10.2025 по делу N А76-12540/2023 Арбитражного суда Челябинской области оставить без изменения, кассационную жалобу Межрайонной инспекции Федеральной налоговой службы N 29 по Челябинской области - без удовлетворения.</w:t>
      </w:r>
    </w:p>
    <w:p>
      <w:pPr>
        <w:pStyle w:val="0"/>
        <w:spacing w:before="200" w:lineRule="auto"/>
        <w:ind w:firstLine="540"/>
        <w:jc w:val="both"/>
      </w:pPr>
      <w:r>
        <w:rPr>
          <w:sz w:val="20"/>
        </w:rPr>
        <w:t xml:space="preserve">Постановление может быть обжаловано в Судебную коллегию Верховного Суда Российской Федерации в срок, не превышающий двух месяцев со дня его принятия, в порядке, предусмотренном </w:t>
      </w:r>
      <w:hyperlink w:history="0" r:id="rId63" w:tooltip="&quot;Арбитражный процессуальный кодекс Российской Федерации&quot; от 24.07.2002 N 95-ФЗ (ред. от 15.12.2025) (с изм. и доп., вступ. в силу с 01.01.2026) {КонсультантПлюс}">
        <w:r>
          <w:rPr>
            <w:sz w:val="20"/>
            <w:color w:val="0000ff"/>
          </w:rPr>
          <w:t xml:space="preserve">статьей 291.1</w:t>
        </w:r>
      </w:hyperlink>
      <w:r>
        <w:rPr>
          <w:sz w:val="20"/>
        </w:rPr>
        <w:t xml:space="preserve"> Арбитражного процессуального кодекса Российской Федерации.</w:t>
      </w:r>
    </w:p>
    <w:p>
      <w:pPr>
        <w:pStyle w:val="0"/>
        <w:ind w:firstLine="540"/>
        <w:jc w:val="both"/>
      </w:pPr>
      <w:r>
        <w:rPr>
          <w:sz w:val="20"/>
        </w:rPr>
      </w:r>
    </w:p>
    <w:p>
      <w:pPr>
        <w:pStyle w:val="0"/>
        <w:jc w:val="right"/>
      </w:pPr>
      <w:r>
        <w:rPr>
          <w:sz w:val="20"/>
        </w:rPr>
        <w:t xml:space="preserve">Председательствующий</w:t>
      </w:r>
    </w:p>
    <w:p>
      <w:pPr>
        <w:pStyle w:val="0"/>
        <w:jc w:val="right"/>
      </w:pPr>
      <w:r>
        <w:rPr>
          <w:sz w:val="20"/>
        </w:rPr>
        <w:t xml:space="preserve">В.А.ЛУКЬЯНОВ</w:t>
      </w:r>
    </w:p>
    <w:p>
      <w:pPr>
        <w:pStyle w:val="0"/>
        <w:jc w:val="right"/>
      </w:pPr>
      <w:r>
        <w:rPr>
          <w:sz w:val="20"/>
        </w:rPr>
      </w:r>
    </w:p>
    <w:p>
      <w:pPr>
        <w:pStyle w:val="0"/>
        <w:jc w:val="right"/>
      </w:pPr>
      <w:r>
        <w:rPr>
          <w:sz w:val="20"/>
        </w:rPr>
        <w:t xml:space="preserve">Судьи</w:t>
      </w:r>
    </w:p>
    <w:p>
      <w:pPr>
        <w:pStyle w:val="0"/>
        <w:jc w:val="right"/>
      </w:pPr>
      <w:r>
        <w:rPr>
          <w:sz w:val="20"/>
        </w:rPr>
        <w:t xml:space="preserve">Д.В.ЖАВОРОНКОВ</w:t>
      </w:r>
    </w:p>
    <w:p>
      <w:pPr>
        <w:pStyle w:val="0"/>
        <w:jc w:val="right"/>
      </w:pPr>
      <w:r>
        <w:rPr>
          <w:sz w:val="20"/>
        </w:rPr>
        <w:t xml:space="preserve">О.Л.ГАВРИЛЕНКО</w:t>
      </w:r>
    </w:p>
    <w:p>
      <w:pPr>
        <w:pStyle w:val="0"/>
        <w:ind w:firstLine="540"/>
        <w:jc w:val="both"/>
      </w:pPr>
      <w:r>
        <w:rPr>
          <w:sz w:val="20"/>
        </w:rPr>
      </w:r>
    </w:p>
    <w:p>
      <w:pPr>
        <w:pStyle w:val="0"/>
        <w:ind w:firstLine="540"/>
        <w:jc w:val="both"/>
      </w:pPr>
      <w:r>
        <w:rPr>
          <w:sz w:val="20"/>
        </w:rPr>
      </w:r>
    </w:p>
    <w:p>
      <w:pPr>
        <w:pStyle w:val="0"/>
        <w:jc w:val="both"/>
        <w:pBdr>
          <w:bottom w:val="single" w:sz="6" w:space="0" w:color="auto"/>
        </w:pBdr>
        <w:spacing w:before="100" w:after="100"/>
        <w:rPr>
          <w:sz w:val="2"/>
          <w:szCs w:val="2"/>
        </w:rPr>
      </w:pPr>
    </w:p>
    <w:sectPr>
      <w:headerReference w:type="default" r:id="rId3"/>
      <w:headerReference w:type="first" r:id="rId4"/>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Арбитражного суда Уральского округа от 04.02.2026 N Ф09-5912/25 по делу N А76-12540/2023</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20.02.2026</w:t>
          </w:r>
        </w:p>
      </w:tc>
    </w:tr>
  </w:tbl>
  <w:p>
    <w:pPr>
      <w:pBdr>
        <w:bottom w:val="single" w:sz="12" w:space="0" w:color="auto"/>
      </w:pBdr>
      <w:rPr>
        <w:sz w:val="2"/>
        <w:szCs w:val="2"/>
      </w:rPr>
    </w:pPr>
  </w:p>
  <w:p/>
</w:hdr>
</file>

<file path=word/header2.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drawing>
              <wp:inline distT="0" distB="0" distL="0" distR="0">
                <wp:extent cx="1910715" cy="44577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1910715" cy="445770"/>
                        </a:xfrm>
                        <a:prstGeom prst="rect">
                          <a:avLst/>
                        </a:prstGeom>
                        <a:noFill/>
                        <a:ln>
                          <a:noFill/>
                        </a:ln>
                      </pic:spPr>
                    </pic:pic>
                  </a:graphicData>
                </a:graphic>
              </wp:inline>
            </w:drawing>
          </w:r>
          <w:r>
            <w:rPr>
              <w:rFonts w:ascii="Tahoma" w:hAnsi="Tahoma" w:cs="Tahoma"/>
              <w:sz w:val="18"/>
              <w:szCs w:val="18"/>
            </w:rPr>
            <w:br/>
          </w:r>
          <w:r>
            <w:rPr>
              <w:rFonts w:ascii="Tahoma" w:hAnsi="Tahoma" w:cs="Tahoma"/>
              <w:sz w:val="16"/>
              <w:szCs w:val="16"/>
            </w:rPr>
            <w:t>Постановление Арбитражного суда Уральского округа от 04.02.2026 N Ф09-5912/25 по делу N А76-12540/2023</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20.02.2026</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Arial" w:hAnsi="Arial" w:cs="Arial"/>
      <w:sz w:val="20"/>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0"/>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Courier New" w:hAnsi="Courier New" w:cs="Courier New"/>
      <w:sz w:val="20"/>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Arial" w:hAnsi="Arial" w:cs="Arial"/>
      <w:sz w:val="20"/>
      <w:lang w:val="ru-RU" w:eastAsia="ru-RU" w:bidi="ar-SA"/>
    </w:rPr>
  </w:style>
  <w:style w:type="paragraph" w:customStyle="1" w:styleId="8">
    <w:name w:val="ConsPlusTextList"/>
    <w:pPr>
      <w:widowControl w:val="0"/>
      <w:autoSpaceDE w:val="0"/>
      <w:autoSpaceDN w:val="0"/>
    </w:pPr>
    <w:rPr>
      <w:rFonts w:ascii="Arial" w:hAnsi="Arial" w:cs="Arial"/>
      <w:sz w:val="20"/>
      <w:lang w:val="ru-RU" w:eastAsia="ru-RU" w:bidi="ar-SA"/>
    </w:rPr>
  </w:style>
</w:styles>
</file>

<file path=word/_rels/document.xml.rels>&#65279;<?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image" Target="media/image1.png"/><Relationship Id="rId6" Type="http://schemas.openxmlformats.org/officeDocument/2006/relationships/footer" Target="footer1.xml"/><Relationship Id="rId7" Type="http://schemas.openxmlformats.org/officeDocument/2006/relationships/hyperlink" Target="https://login.consultant.ru/link/?req=doc&amp;base=ASUR&amp;n=2987988" TargetMode = "External"/><Relationship Id="rId8" Type="http://schemas.openxmlformats.org/officeDocument/2006/relationships/hyperlink" Target="https://login.consultant.ru/link/?req=doc&amp;base=RAPS018&amp;n=232530" TargetMode = "External"/><Relationship Id="rId9" Type="http://schemas.openxmlformats.org/officeDocument/2006/relationships/hyperlink" Target="https://login.consultant.ru/link/?req=doc&amp;base=LAW&amp;n=520138&amp;dst=19" TargetMode = "External"/><Relationship Id="rId10" Type="http://schemas.openxmlformats.org/officeDocument/2006/relationships/hyperlink" Target="https://login.consultant.ru/link/?req=doc&amp;base=LAW&amp;n=520138&amp;dst=100293" TargetMode = "External"/><Relationship Id="rId11" Type="http://schemas.openxmlformats.org/officeDocument/2006/relationships/hyperlink" Target="https://login.consultant.ru/link/?req=doc&amp;base=LAW&amp;n=483130" TargetMode = "External"/><Relationship Id="rId12" Type="http://schemas.openxmlformats.org/officeDocument/2006/relationships/hyperlink" Target="https://login.consultant.ru/link/?req=doc&amp;base=RAPS018&amp;n=232530" TargetMode = "External"/><Relationship Id="rId13" Type="http://schemas.openxmlformats.org/officeDocument/2006/relationships/hyperlink" Target="https://login.consultant.ru/link/?req=doc&amp;base=ASUR&amp;n=2987988" TargetMode = "External"/><Relationship Id="rId14" Type="http://schemas.openxmlformats.org/officeDocument/2006/relationships/hyperlink" Target="https://login.consultant.ru/link/?req=doc&amp;base=LAW&amp;n=520138&amp;dst=101808" TargetMode = "External"/><Relationship Id="rId15" Type="http://schemas.openxmlformats.org/officeDocument/2006/relationships/hyperlink" Target="https://login.consultant.ru/link/?req=doc&amp;base=LAW&amp;n=520138&amp;dst=101876" TargetMode = "External"/><Relationship Id="rId16" Type="http://schemas.openxmlformats.org/officeDocument/2006/relationships/hyperlink" Target="https://login.consultant.ru/link/?req=doc&amp;base=LAW&amp;n=520138&amp;dst=101882" TargetMode = "External"/><Relationship Id="rId17" Type="http://schemas.openxmlformats.org/officeDocument/2006/relationships/hyperlink" Target="https://login.consultant.ru/link/?req=doc&amp;base=LAW&amp;n=520138&amp;dst=101243" TargetMode = "External"/><Relationship Id="rId18" Type="http://schemas.openxmlformats.org/officeDocument/2006/relationships/hyperlink" Target="https://login.consultant.ru/link/?req=doc&amp;base=LAW&amp;n=520138&amp;dst=376" TargetMode = "External"/><Relationship Id="rId19" Type="http://schemas.openxmlformats.org/officeDocument/2006/relationships/hyperlink" Target="https://login.consultant.ru/link/?req=doc&amp;base=LAW&amp;n=483130&amp;dst=100026" TargetMode = "External"/><Relationship Id="rId20" Type="http://schemas.openxmlformats.org/officeDocument/2006/relationships/hyperlink" Target="https://login.consultant.ru/link/?req=doc&amp;base=LAW&amp;n=475532&amp;dst=100469" TargetMode = "External"/><Relationship Id="rId21" Type="http://schemas.openxmlformats.org/officeDocument/2006/relationships/hyperlink" Target="https://login.consultant.ru/link/?req=doc&amp;base=LAW&amp;n=475532&amp;dst=100515" TargetMode = "External"/><Relationship Id="rId22" Type="http://schemas.openxmlformats.org/officeDocument/2006/relationships/hyperlink" Target="https://login.consultant.ru/link/?req=doc&amp;base=LAW&amp;n=475532&amp;dst=100534" TargetMode = "External"/><Relationship Id="rId23" Type="http://schemas.openxmlformats.org/officeDocument/2006/relationships/hyperlink" Target="https://login.consultant.ru/link/?req=doc&amp;base=LAW&amp;n=475532&amp;dst=100469" TargetMode = "External"/><Relationship Id="rId24" Type="http://schemas.openxmlformats.org/officeDocument/2006/relationships/hyperlink" Target="https://login.consultant.ru/link/?req=doc&amp;base=LAW&amp;n=475532&amp;dst=101954" TargetMode = "External"/><Relationship Id="rId25" Type="http://schemas.openxmlformats.org/officeDocument/2006/relationships/hyperlink" Target="https://login.consultant.ru/link/?req=doc&amp;base=LAW&amp;n=475532&amp;dst=103042" TargetMode = "External"/><Relationship Id="rId26" Type="http://schemas.openxmlformats.org/officeDocument/2006/relationships/hyperlink" Target="https://login.consultant.ru/link/?req=doc&amp;base=ARB&amp;n=292284" TargetMode = "External"/><Relationship Id="rId27" Type="http://schemas.openxmlformats.org/officeDocument/2006/relationships/hyperlink" Target="https://login.consultant.ru/link/?req=doc&amp;base=ARB&amp;n=468425" TargetMode = "External"/><Relationship Id="rId28" Type="http://schemas.openxmlformats.org/officeDocument/2006/relationships/hyperlink" Target="https://login.consultant.ru/link/?req=doc&amp;base=LAW&amp;n=216204&amp;dst=100622" TargetMode = "External"/><Relationship Id="rId29" Type="http://schemas.openxmlformats.org/officeDocument/2006/relationships/hyperlink" Target="https://login.consultant.ru/link/?req=doc&amp;base=LAW&amp;n=63894&amp;dst=100005" TargetMode = "External"/><Relationship Id="rId30" Type="http://schemas.openxmlformats.org/officeDocument/2006/relationships/hyperlink" Target="https://login.consultant.ru/link/?req=doc&amp;base=LAW&amp;n=63894&amp;dst=100008" TargetMode = "External"/><Relationship Id="rId31" Type="http://schemas.openxmlformats.org/officeDocument/2006/relationships/hyperlink" Target="https://login.consultant.ru/link/?req=doc&amp;base=LAW&amp;n=483130&amp;dst=100026" TargetMode = "External"/><Relationship Id="rId32" Type="http://schemas.openxmlformats.org/officeDocument/2006/relationships/hyperlink" Target="https://login.consultant.ru/link/?req=doc&amp;base=LAW&amp;n=520138&amp;dst=100375" TargetMode = "External"/><Relationship Id="rId33" Type="http://schemas.openxmlformats.org/officeDocument/2006/relationships/hyperlink" Target="https://login.consultant.ru/link/?req=doc&amp;base=LAW&amp;n=464347&amp;dst=100094" TargetMode = "External"/><Relationship Id="rId34" Type="http://schemas.openxmlformats.org/officeDocument/2006/relationships/hyperlink" Target="https://login.consultant.ru/link/?req=doc&amp;base=LAW&amp;n=4250" TargetMode = "External"/><Relationship Id="rId35" Type="http://schemas.openxmlformats.org/officeDocument/2006/relationships/hyperlink" Target="https://login.consultant.ru/link/?req=doc&amp;base=LAW&amp;n=57628" TargetMode = "External"/><Relationship Id="rId36" Type="http://schemas.openxmlformats.org/officeDocument/2006/relationships/hyperlink" Target="https://login.consultant.ru/link/?req=doc&amp;base=LAW&amp;n=60740" TargetMode = "External"/><Relationship Id="rId37" Type="http://schemas.openxmlformats.org/officeDocument/2006/relationships/hyperlink" Target="https://login.consultant.ru/link/?req=doc&amp;base=LAW&amp;n=63288" TargetMode = "External"/><Relationship Id="rId38" Type="http://schemas.openxmlformats.org/officeDocument/2006/relationships/hyperlink" Target="https://login.consultant.ru/link/?req=doc&amp;base=LAW&amp;n=178393" TargetMode = "External"/><Relationship Id="rId39" Type="http://schemas.openxmlformats.org/officeDocument/2006/relationships/hyperlink" Target="https://login.consultant.ru/link/?req=doc&amp;base=LAW&amp;n=2875&amp;dst=100132" TargetMode = "External"/><Relationship Id="rId40" Type="http://schemas.openxmlformats.org/officeDocument/2006/relationships/hyperlink" Target="https://login.consultant.ru/link/?req=doc&amp;base=LAW&amp;n=2875&amp;dst=100178" TargetMode = "External"/><Relationship Id="rId41" Type="http://schemas.openxmlformats.org/officeDocument/2006/relationships/hyperlink" Target="https://login.consultant.ru/link/?req=doc&amp;base=ARB&amp;n=666246" TargetMode = "External"/><Relationship Id="rId42" Type="http://schemas.openxmlformats.org/officeDocument/2006/relationships/hyperlink" Target="https://login.consultant.ru/link/?req=doc&amp;base=ARB&amp;n=697565" TargetMode = "External"/><Relationship Id="rId43" Type="http://schemas.openxmlformats.org/officeDocument/2006/relationships/hyperlink" Target="https://login.consultant.ru/link/?req=doc&amp;base=LAW&amp;n=26303&amp;dst=100061" TargetMode = "External"/><Relationship Id="rId44" Type="http://schemas.openxmlformats.org/officeDocument/2006/relationships/hyperlink" Target="https://login.consultant.ru/link/?req=doc&amp;base=LAW&amp;n=475532&amp;dst=100008" TargetMode = "External"/><Relationship Id="rId45" Type="http://schemas.openxmlformats.org/officeDocument/2006/relationships/hyperlink" Target="https://login.consultant.ru/link/?req=doc&amp;base=LAW&amp;n=520138&amp;dst=100374" TargetMode = "External"/><Relationship Id="rId46" Type="http://schemas.openxmlformats.org/officeDocument/2006/relationships/hyperlink" Target="https://login.consultant.ru/link/?req=doc&amp;base=LAW&amp;n=520138&amp;dst=100374" TargetMode = "External"/><Relationship Id="rId47" Type="http://schemas.openxmlformats.org/officeDocument/2006/relationships/hyperlink" Target="https://login.consultant.ru/link/?req=doc&amp;base=LAW&amp;n=520138&amp;dst=100400" TargetMode = "External"/><Relationship Id="rId48" Type="http://schemas.openxmlformats.org/officeDocument/2006/relationships/hyperlink" Target="https://login.consultant.ru/link/?req=doc&amp;base=LAW&amp;n=520138&amp;dst=100403" TargetMode = "External"/><Relationship Id="rId49" Type="http://schemas.openxmlformats.org/officeDocument/2006/relationships/hyperlink" Target="https://login.consultant.ru/link/?req=doc&amp;base=LAW&amp;n=520138&amp;dst=100419" TargetMode = "External"/><Relationship Id="rId50" Type="http://schemas.openxmlformats.org/officeDocument/2006/relationships/hyperlink" Target="https://login.consultant.ru/link/?req=doc&amp;base=LAW&amp;n=520138&amp;dst=100375" TargetMode = "External"/><Relationship Id="rId51" Type="http://schemas.openxmlformats.org/officeDocument/2006/relationships/hyperlink" Target="https://login.consultant.ru/link/?req=doc&amp;base=LAW&amp;n=520138&amp;dst=100376" TargetMode = "External"/><Relationship Id="rId52" Type="http://schemas.openxmlformats.org/officeDocument/2006/relationships/hyperlink" Target="https://login.consultant.ru/link/?req=doc&amp;base=LAW&amp;n=520138&amp;dst=101882" TargetMode = "External"/><Relationship Id="rId53" Type="http://schemas.openxmlformats.org/officeDocument/2006/relationships/hyperlink" Target="https://login.consultant.ru/link/?req=doc&amp;base=LAW&amp;n=356424&amp;dst=100134" TargetMode = "External"/><Relationship Id="rId54" Type="http://schemas.openxmlformats.org/officeDocument/2006/relationships/hyperlink" Target="https://login.consultant.ru/link/?req=doc&amp;base=ARB&amp;n=420127" TargetMode = "External"/><Relationship Id="rId55" Type="http://schemas.openxmlformats.org/officeDocument/2006/relationships/hyperlink" Target="https://login.consultant.ru/link/?req=doc&amp;base=LAW&amp;n=520138&amp;dst=101882" TargetMode = "External"/><Relationship Id="rId56" Type="http://schemas.openxmlformats.org/officeDocument/2006/relationships/hyperlink" Target="https://login.consultant.ru/link/?req=doc&amp;base=LAW&amp;n=520138&amp;dst=1084" TargetMode = "External"/><Relationship Id="rId57" Type="http://schemas.openxmlformats.org/officeDocument/2006/relationships/hyperlink" Target="https://login.consultant.ru/link/?req=doc&amp;base=LAW&amp;n=520138" TargetMode = "External"/><Relationship Id="rId58" Type="http://schemas.openxmlformats.org/officeDocument/2006/relationships/hyperlink" Target="https://login.consultant.ru/link/?req=doc&amp;base=LAW&amp;n=520138&amp;dst=1085" TargetMode = "External"/><Relationship Id="rId59" Type="http://schemas.openxmlformats.org/officeDocument/2006/relationships/hyperlink" Target="https://login.consultant.ru/link/?req=doc&amp;base=LAW&amp;n=520138&amp;dst=101882" TargetMode = "External"/><Relationship Id="rId60" Type="http://schemas.openxmlformats.org/officeDocument/2006/relationships/hyperlink" Target="https://login.consultant.ru/link/?req=doc&amp;base=LAW&amp;n=520138&amp;dst=101886" TargetMode = "External"/><Relationship Id="rId61" Type="http://schemas.openxmlformats.org/officeDocument/2006/relationships/hyperlink" Target="https://login.consultant.ru/link/?req=doc&amp;base=LAW&amp;n=520138&amp;dst=101910" TargetMode = "External"/><Relationship Id="rId62" Type="http://schemas.openxmlformats.org/officeDocument/2006/relationships/hyperlink" Target="https://login.consultant.ru/link/?req=doc&amp;base=RAPS018&amp;n=232530" TargetMode = "External"/><Relationship Id="rId63" Type="http://schemas.openxmlformats.org/officeDocument/2006/relationships/hyperlink" Target="https://login.consultant.ru/link/?req=doc&amp;base=LAW&amp;n=520138&amp;dst=1663" TargetMode = "External"/></Relationships>
</file>

<file path=word/_rels/foot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2.xml.rels>&#65279;<?xml version="1.0" encoding="UTF-8" standalone="yes"?>
<Relationships xmlns="http://schemas.openxmlformats.org/package/2006/relationships"><Relationship Id="rId1" Type="http://schemas.openxmlformats.org/officeDocument/2006/relationships/hyperlink" Target="https://www.consultant.ru" TargetMode = "External"/><Relationship Id="rId2" Type="http://schemas.openxmlformats.org/officeDocument/2006/relationships/image" Target="media/image1.png"/></Relationships>
</file>

<file path=docProps/app.xml><?xml version="1.0" encoding="utf-8"?>
<Properties xmlns="http://schemas.openxmlformats.org/officeDocument/2006/extended-properties" xmlns:vt="http://schemas.openxmlformats.org/officeDocument/2006/docPropsVTypes">
  <Application>КонсультантПлюс Версия 4025.00.52</Application>
  <Company>КонсультантПлюс Версия 4025.00.52</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Арбитражного суда Уральского округа от 04.02.2026 N Ф09-5912/25 по делу N А76-12540/2023
Требование: О признании недействительным решения налогового органа.
Обстоятельства: Налоговый орган начислил налог на прибыль, НДС, пени, штрафы со ссылкой на создание налогоплательщиком формального документооборота со спорными контрагентами.
Решение: Требование удовлетворено, поскольку заключенные с указанными лицами сделки являлись для налогоплательщика ординарными, им проявлена должная степень осмотрите</dc:title>
  <dcterms:created xsi:type="dcterms:W3CDTF">2026-02-20T10:15:34Z</dcterms:created>
</cp:coreProperties>
</file>